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65AD" w14:textId="77777777" w:rsidR="00F75C0B" w:rsidRDefault="00A10F85" w:rsidP="00F75C0B">
      <w:pPr>
        <w:pStyle w:val="Introcopy"/>
        <w:tabs>
          <w:tab w:val="left" w:pos="8182"/>
        </w:tabs>
        <w:spacing w:after="0"/>
        <w:rPr>
          <w:rFonts w:ascii="Compatil Fact LT Pro" w:hAnsi="Compatil Fact LT Pro"/>
          <w:noProof/>
          <w:color w:val="FFFFFF" w:themeColor="background1"/>
          <w:sz w:val="44"/>
          <w:szCs w:val="44"/>
        </w:rPr>
      </w:pPr>
      <w:r>
        <w:rPr>
          <w:rFonts w:ascii="Compatil Fact LT Pro" w:hAnsi="Compatil Fact LT Pro"/>
          <w:noProof/>
          <w:color w:val="FFFFFF" w:themeColor="background1"/>
          <w:sz w:val="44"/>
          <w:szCs w:val="44"/>
        </w:rPr>
        <w:t xml:space="preserve">SUSTAINABLE </w:t>
      </w:r>
      <w:r w:rsidR="00247DCC" w:rsidRPr="007E2F97">
        <w:rPr>
          <w:rFonts w:ascii="Compatil Fact LT Pro" w:hAnsi="Compatil Fact LT Pro"/>
          <w:noProof/>
          <w:color w:val="FFFFFF" w:themeColor="background1"/>
          <w:sz w:val="44"/>
          <w:szCs w:val="44"/>
        </w:rPr>
        <w:t>MANAGED</w:t>
      </w:r>
    </w:p>
    <w:p w14:paraId="3BE614D2" w14:textId="122E0CD1" w:rsidR="00166A70" w:rsidRPr="007E2F97" w:rsidRDefault="00247DCC" w:rsidP="00F75C0B">
      <w:pPr>
        <w:pStyle w:val="Introcopy"/>
        <w:tabs>
          <w:tab w:val="left" w:pos="8182"/>
        </w:tabs>
        <w:spacing w:after="0"/>
        <w:rPr>
          <w:rFonts w:ascii="Compatil Fact LT Pro" w:hAnsi="Compatil Fact LT Pro"/>
          <w:noProof/>
          <w:color w:val="FFFFFF" w:themeColor="background1"/>
          <w:sz w:val="44"/>
          <w:szCs w:val="44"/>
        </w:rPr>
      </w:pPr>
      <w:r w:rsidRPr="007E2F97">
        <w:rPr>
          <w:rFonts w:ascii="Compatil Fact LT Pro" w:hAnsi="Compatil Fact LT Pro"/>
          <w:noProof/>
          <w:color w:val="FFFFFF" w:themeColor="background1"/>
          <w:sz w:val="44"/>
          <w:szCs w:val="44"/>
        </w:rPr>
        <w:t>PORTFOLIOS</w:t>
      </w:r>
      <w:r w:rsidR="00F75C0B">
        <w:rPr>
          <w:rFonts w:ascii="Compatil Fact LT Pro" w:hAnsi="Compatil Fact LT Pro"/>
          <w:noProof/>
          <w:color w:val="FFFFFF" w:themeColor="background1"/>
          <w:sz w:val="44"/>
          <w:szCs w:val="44"/>
        </w:rPr>
        <w:tab/>
      </w:r>
    </w:p>
    <w:p w14:paraId="53BEE89A" w14:textId="77777777" w:rsidR="007E2F97" w:rsidRDefault="007E2F97" w:rsidP="00FB583B">
      <w:pPr>
        <w:pStyle w:val="Introcopy"/>
        <w:rPr>
          <w:rFonts w:ascii="Compatil Fact LT Pro" w:hAnsi="Compatil Fact LT Pro"/>
          <w:noProof/>
          <w:color w:val="FFFFFF" w:themeColor="background1"/>
          <w:sz w:val="20"/>
          <w:szCs w:val="20"/>
        </w:rPr>
      </w:pPr>
    </w:p>
    <w:p w14:paraId="62E972E9" w14:textId="27658FB4" w:rsidR="00FB583B" w:rsidRPr="006A65F6" w:rsidRDefault="00F012E3" w:rsidP="00FB583B">
      <w:pPr>
        <w:pStyle w:val="Introcopy"/>
        <w:rPr>
          <w:rFonts w:ascii="Compatil Fact LT Pro" w:hAnsi="Compatil Fact LT Pro"/>
          <w:noProof/>
          <w:color w:val="FFFFFF" w:themeColor="background1"/>
          <w:sz w:val="40"/>
          <w:szCs w:val="40"/>
        </w:rPr>
      </w:pPr>
      <w:r>
        <w:rPr>
          <w:rFonts w:ascii="Compatil Fact LT Pro" w:hAnsi="Compatil Fact LT Pro"/>
          <w:noProof/>
          <w:color w:val="FFFFFF" w:themeColor="background1"/>
          <w:sz w:val="20"/>
          <w:szCs w:val="20"/>
        </w:rPr>
        <w:t xml:space="preserve">PORTFOLIO CHANGES: </w:t>
      </w:r>
      <w:r w:rsidR="008221CB">
        <w:rPr>
          <w:rFonts w:ascii="Compatil Fact LT Pro" w:hAnsi="Compatil Fact LT Pro"/>
          <w:noProof/>
          <w:color w:val="FF0000"/>
          <w:sz w:val="20"/>
          <w:szCs w:val="20"/>
        </w:rPr>
        <w:t>DECEMBER</w:t>
      </w:r>
      <w:r w:rsidR="00A83F6B">
        <w:rPr>
          <w:rFonts w:ascii="Compatil Fact LT Pro" w:hAnsi="Compatil Fact LT Pro"/>
          <w:noProof/>
          <w:color w:val="FF0000"/>
          <w:sz w:val="20"/>
          <w:szCs w:val="20"/>
        </w:rPr>
        <w:t xml:space="preserve"> </w:t>
      </w:r>
      <w:r w:rsidR="008674B7">
        <w:rPr>
          <w:rFonts w:ascii="Compatil Fact LT Pro" w:hAnsi="Compatil Fact LT Pro"/>
          <w:noProof/>
          <w:color w:val="FF0000"/>
          <w:sz w:val="20"/>
          <w:szCs w:val="20"/>
        </w:rPr>
        <w:t>202</w:t>
      </w:r>
      <w:r w:rsidR="00305D38">
        <w:rPr>
          <w:rFonts w:ascii="Compatil Fact LT Pro" w:hAnsi="Compatil Fact LT Pro"/>
          <w:noProof/>
          <w:color w:val="FF0000"/>
          <w:sz w:val="20"/>
          <w:szCs w:val="20"/>
        </w:rPr>
        <w:t>5</w:t>
      </w:r>
    </w:p>
    <w:p w14:paraId="2675B526" w14:textId="2C62BA69" w:rsidR="00FB583B" w:rsidRPr="00A05937" w:rsidRDefault="00A05937" w:rsidP="00FB583B">
      <w:pPr>
        <w:pStyle w:val="Introcopy"/>
        <w:rPr>
          <w:rFonts w:ascii="Compatil Fact LT Pro" w:hAnsi="Compatil Fact LT Pro"/>
          <w:b/>
          <w:bCs/>
          <w:noProof/>
        </w:rPr>
      </w:pPr>
      <w:r w:rsidRPr="00A05937">
        <w:rPr>
          <w:rFonts w:ascii="Compatil Fact LT Pro" w:hAnsi="Compatil Fact LT Pro"/>
          <w:b/>
          <w:bCs/>
          <w:noProof/>
        </w:rPr>
        <w:br/>
      </w:r>
    </w:p>
    <w:p w14:paraId="3F560A2B" w14:textId="79D59162" w:rsidR="00C474E8" w:rsidRPr="00A05937" w:rsidRDefault="00C474E8" w:rsidP="00A05937">
      <w:pPr>
        <w:pStyle w:val="Introcopy"/>
        <w:rPr>
          <w:rFonts w:ascii="Compatil Fact LT Pro" w:hAnsi="Compatil Fact LT Pro"/>
        </w:rPr>
        <w:sectPr w:rsidR="00C474E8" w:rsidRPr="00A05937" w:rsidSect="00FB583B">
          <w:headerReference w:type="default" r:id="rId11"/>
          <w:footerReference w:type="default" r:id="rId12"/>
          <w:pgSz w:w="11907" w:h="16840" w:code="9"/>
          <w:pgMar w:top="720" w:right="794" w:bottom="1440" w:left="794" w:header="578" w:footer="578" w:gutter="0"/>
          <w:cols w:space="720"/>
          <w:docGrid w:linePitch="360"/>
        </w:sectPr>
      </w:pPr>
    </w:p>
    <w:p w14:paraId="7122EC29" w14:textId="646DA09D" w:rsidR="00F012E3" w:rsidRPr="005C473B" w:rsidRDefault="00F012E3" w:rsidP="00F012E3">
      <w:pPr>
        <w:spacing w:after="160" w:line="276" w:lineRule="auto"/>
        <w:ind w:right="0"/>
        <w:rPr>
          <w:rFonts w:ascii="Compatil Fact LT Pro" w:eastAsia="Calibri" w:hAnsi="Compatil Fact LT Pro" w:cstheme="majorHAnsi"/>
          <w:color w:val="auto"/>
          <w:sz w:val="21"/>
          <w:szCs w:val="21"/>
          <w:lang w:val="en-AU"/>
        </w:rPr>
      </w:pPr>
      <w:bookmarkStart w:id="1" w:name="_Hlk106287679"/>
      <w:r w:rsidRPr="005C473B">
        <w:rPr>
          <w:rFonts w:ascii="Compatil Fact LT Pro" w:eastAsia="Calibri" w:hAnsi="Compatil Fact LT Pro" w:cstheme="majorHAnsi"/>
          <w:color w:val="auto"/>
          <w:sz w:val="21"/>
          <w:szCs w:val="21"/>
          <w:lang w:val="en-AU"/>
        </w:rPr>
        <w:t>Dear Client,</w:t>
      </w:r>
    </w:p>
    <w:p w14:paraId="6D69FD41" w14:textId="77777777" w:rsidR="005C473B" w:rsidRPr="005C473B" w:rsidRDefault="008674B7" w:rsidP="008674B7">
      <w:pPr>
        <w:spacing w:after="160" w:line="276" w:lineRule="auto"/>
        <w:ind w:right="0"/>
        <w:rPr>
          <w:rFonts w:ascii="Compatil Fact LT Pro" w:eastAsia="Calibri" w:hAnsi="Compatil Fact LT Pro" w:cstheme="majorHAnsi"/>
          <w:b/>
          <w:bCs/>
          <w:color w:val="auto"/>
          <w:sz w:val="21"/>
          <w:szCs w:val="21"/>
          <w:lang w:val="en-AU"/>
        </w:rPr>
      </w:pPr>
      <w:r w:rsidRPr="005C473B">
        <w:rPr>
          <w:rFonts w:ascii="Compatil Fact LT Pro" w:eastAsia="Calibri" w:hAnsi="Compatil Fact LT Pro" w:cstheme="majorHAnsi"/>
          <w:color w:val="auto"/>
          <w:sz w:val="21"/>
          <w:szCs w:val="21"/>
          <w:lang w:val="en-AU"/>
        </w:rPr>
        <w:t xml:space="preserve">In this note, we provide a short update on recent trade activity and changes to the </w:t>
      </w:r>
      <w:r w:rsidRPr="005C473B">
        <w:rPr>
          <w:rFonts w:ascii="Compatil Fact LT Pro" w:eastAsia="Calibri" w:hAnsi="Compatil Fact LT Pro" w:cstheme="majorHAnsi"/>
          <w:b/>
          <w:bCs/>
          <w:color w:val="auto"/>
          <w:sz w:val="21"/>
          <w:szCs w:val="21"/>
          <w:lang w:val="en-AU"/>
        </w:rPr>
        <w:t>Russell Investments Sustainable Managed Portfolio</w:t>
      </w:r>
      <w:r w:rsidR="005C473B" w:rsidRPr="005C473B">
        <w:rPr>
          <w:rFonts w:ascii="Compatil Fact LT Pro" w:eastAsia="Calibri" w:hAnsi="Compatil Fact LT Pro" w:cstheme="majorHAnsi"/>
          <w:b/>
          <w:bCs/>
          <w:color w:val="auto"/>
          <w:sz w:val="21"/>
          <w:szCs w:val="21"/>
          <w:lang w:val="en-AU"/>
        </w:rPr>
        <w:t>s.</w:t>
      </w:r>
    </w:p>
    <w:p w14:paraId="32826187" w14:textId="55E6E783" w:rsidR="008674B7" w:rsidRPr="009715CE" w:rsidRDefault="008674B7" w:rsidP="009715CE">
      <w:pPr>
        <w:pStyle w:val="Heading1"/>
        <w:spacing w:before="0" w:after="120" w:line="276" w:lineRule="auto"/>
        <w:rPr>
          <w:rFonts w:ascii="Compatil Fact LT Pro" w:hAnsi="Compatil Fact LT Pro"/>
          <w:color w:val="005596" w:themeColor="accent4"/>
          <w:sz w:val="24"/>
          <w:szCs w:val="28"/>
        </w:rPr>
      </w:pPr>
      <w:r w:rsidRPr="009715CE">
        <w:rPr>
          <w:rFonts w:ascii="Compatil Fact LT Pro" w:hAnsi="Compatil Fact LT Pro"/>
          <w:color w:val="005596" w:themeColor="accent4"/>
          <w:sz w:val="24"/>
          <w:szCs w:val="28"/>
        </w:rPr>
        <w:t>Summary of key changes</w:t>
      </w:r>
    </w:p>
    <w:p w14:paraId="4234B99E" w14:textId="389CFC69" w:rsidR="00C73481" w:rsidRPr="00C73481" w:rsidRDefault="00C73481" w:rsidP="00C73481">
      <w:pPr>
        <w:pStyle w:val="ListParagraph"/>
        <w:numPr>
          <w:ilvl w:val="0"/>
          <w:numId w:val="26"/>
        </w:numPr>
        <w:spacing w:after="160" w:line="276" w:lineRule="auto"/>
        <w:rPr>
          <w:rFonts w:ascii="Compatil Fact LT Pro" w:eastAsia="Calibri" w:hAnsi="Compatil Fact LT Pro" w:cstheme="majorHAnsi"/>
          <w:sz w:val="21"/>
          <w:szCs w:val="21"/>
        </w:rPr>
      </w:pPr>
      <w:r w:rsidRPr="00C73481">
        <w:rPr>
          <w:rFonts w:ascii="Compatil Fact LT Pro" w:eastAsia="Calibri" w:hAnsi="Compatil Fact LT Pro" w:cstheme="majorHAnsi"/>
          <w:sz w:val="21"/>
          <w:szCs w:val="21"/>
        </w:rPr>
        <w:t>The newly launched Russell Investments Low-carbon Global Shares Fund now incorporates Russell</w:t>
      </w:r>
      <w:r w:rsidR="008F7362">
        <w:rPr>
          <w:rFonts w:ascii="Compatil Fact LT Pro" w:eastAsia="Calibri" w:hAnsi="Compatil Fact LT Pro" w:cstheme="majorHAnsi"/>
          <w:sz w:val="21"/>
          <w:szCs w:val="21"/>
        </w:rPr>
        <w:t xml:space="preserve"> Investments</w:t>
      </w:r>
      <w:r w:rsidRPr="00C73481">
        <w:rPr>
          <w:rFonts w:ascii="Compatil Fact LT Pro" w:eastAsia="Calibri" w:hAnsi="Compatil Fact LT Pro" w:cstheme="majorHAnsi"/>
          <w:sz w:val="21"/>
          <w:szCs w:val="21"/>
        </w:rPr>
        <w:t>’ Decarb 3.0 process. The current AUD hedged share class is closing and as a result, this allocation has been transferred to the new the share class.</w:t>
      </w:r>
    </w:p>
    <w:p w14:paraId="7BC1C7FF" w14:textId="77777777" w:rsidR="00C73481" w:rsidRPr="00C73481" w:rsidRDefault="00C73481" w:rsidP="00C73481">
      <w:pPr>
        <w:pStyle w:val="ListParagraph"/>
        <w:numPr>
          <w:ilvl w:val="0"/>
          <w:numId w:val="26"/>
        </w:numPr>
        <w:spacing w:after="160" w:line="276" w:lineRule="auto"/>
        <w:rPr>
          <w:rFonts w:ascii="Compatil Fact LT Pro" w:eastAsia="Calibri" w:hAnsi="Compatil Fact LT Pro" w:cstheme="majorHAnsi"/>
          <w:sz w:val="21"/>
          <w:szCs w:val="21"/>
        </w:rPr>
      </w:pPr>
      <w:r w:rsidRPr="00C73481">
        <w:rPr>
          <w:rFonts w:ascii="Compatil Fact LT Pro" w:eastAsia="Calibri" w:hAnsi="Compatil Fact LT Pro" w:cstheme="majorHAnsi"/>
          <w:sz w:val="21"/>
          <w:szCs w:val="21"/>
        </w:rPr>
        <w:t>Reliance Worldwide Corporation (RWC) has been removed from the ASX 100 and thus taken out of direct shares portfolio. This exposure has been allocated into the Perpetual ESG Australia equity strategy.</w:t>
      </w:r>
    </w:p>
    <w:p w14:paraId="00812A91" w14:textId="77777777" w:rsidR="00245B59" w:rsidRDefault="00245B59" w:rsidP="00245B59">
      <w:pPr>
        <w:pStyle w:val="ListParagraph"/>
        <w:numPr>
          <w:ilvl w:val="0"/>
          <w:numId w:val="26"/>
        </w:numPr>
        <w:spacing w:after="160" w:line="276" w:lineRule="auto"/>
        <w:rPr>
          <w:rFonts w:ascii="Compatil Fact LT Pro" w:eastAsia="Calibri" w:hAnsi="Compatil Fact LT Pro" w:cstheme="majorHAnsi"/>
          <w:sz w:val="21"/>
          <w:szCs w:val="21"/>
        </w:rPr>
      </w:pPr>
      <w:r>
        <w:rPr>
          <w:rFonts w:ascii="Compatil Fact LT Pro" w:eastAsia="Calibri" w:hAnsi="Compatil Fact LT Pro" w:cstheme="majorHAnsi"/>
          <w:sz w:val="21"/>
          <w:szCs w:val="21"/>
        </w:rPr>
        <w:t xml:space="preserve">Portfolios affected by these changes are the </w:t>
      </w:r>
      <w:r>
        <w:rPr>
          <w:rFonts w:ascii="Compatil Fact LT Pro" w:eastAsia="Calibri" w:hAnsi="Compatil Fact LT Pro" w:cstheme="majorHAnsi"/>
          <w:b/>
          <w:bCs/>
          <w:sz w:val="21"/>
          <w:szCs w:val="21"/>
        </w:rPr>
        <w:t>Russell Investments Sustainable Managed Portfolio – Conservative, Russell Investments Sustainable Managed Portfolio - Diversified 50, Russell Investments Sustainable Managed Portfolio- Balanced, Russell Investments Sustainable Managed Portfolio- Growth, and Russell Investments Sustainable Managed Portfolio – High Growth</w:t>
      </w:r>
      <w:r>
        <w:rPr>
          <w:rFonts w:ascii="Compatil Fact LT Pro" w:eastAsia="Calibri" w:hAnsi="Compatil Fact LT Pro" w:cstheme="majorHAnsi"/>
          <w:sz w:val="21"/>
          <w:szCs w:val="21"/>
        </w:rPr>
        <w:t xml:space="preserve"> (Portfolios).</w:t>
      </w:r>
    </w:p>
    <w:p w14:paraId="57243DD7" w14:textId="77777777" w:rsidR="00A51474" w:rsidRDefault="00A51474" w:rsidP="00A51474">
      <w:pPr>
        <w:pStyle w:val="Heading1"/>
        <w:spacing w:before="0" w:after="120" w:line="276" w:lineRule="auto"/>
        <w:rPr>
          <w:rFonts w:ascii="Compatil Fact LT Pro" w:hAnsi="Compatil Fact LT Pro"/>
          <w:color w:val="005596" w:themeColor="accent4"/>
          <w:sz w:val="24"/>
          <w:szCs w:val="28"/>
        </w:rPr>
      </w:pPr>
      <w:r w:rsidRPr="00BC7F7E">
        <w:rPr>
          <w:rFonts w:ascii="Compatil Fact LT Pro" w:hAnsi="Compatil Fact LT Pro"/>
          <w:color w:val="005596" w:themeColor="accent4"/>
          <w:sz w:val="24"/>
          <w:szCs w:val="28"/>
        </w:rPr>
        <w:t>Rationale for portfolio changes</w:t>
      </w:r>
    </w:p>
    <w:p w14:paraId="3EE2C29D" w14:textId="77777777" w:rsidR="00DD5389" w:rsidRDefault="00DD5389" w:rsidP="00A51474">
      <w:pPr>
        <w:spacing w:after="160" w:line="276" w:lineRule="auto"/>
        <w:ind w:right="0"/>
        <w:rPr>
          <w:rFonts w:ascii="Compatil Fact LT Pro" w:eastAsia="Calibri" w:hAnsi="Compatil Fact LT Pro" w:cstheme="majorHAnsi"/>
          <w:color w:val="auto"/>
          <w:sz w:val="21"/>
          <w:szCs w:val="21"/>
          <w:lang w:val="en-AU"/>
        </w:rPr>
      </w:pPr>
      <w:r w:rsidRPr="00DD5389">
        <w:rPr>
          <w:rFonts w:ascii="Compatil Fact LT Pro" w:eastAsia="Calibri" w:hAnsi="Compatil Fact LT Pro" w:cstheme="majorHAnsi"/>
          <w:color w:val="auto"/>
          <w:sz w:val="21"/>
          <w:szCs w:val="21"/>
          <w:lang w:val="en-AU"/>
        </w:rPr>
        <w:t xml:space="preserve">We are closing the Russell Investments Low Carbon Global Shares (AUD Hedged) share class and creating a new fund, the Russell Investments Low Carbon Global Shares Fund - $A Hedged. The closure is because it is no longer able to make Attributed Managed Investment Trust elections. </w:t>
      </w:r>
    </w:p>
    <w:p w14:paraId="21BC3113" w14:textId="055A289B" w:rsidR="00A9290B" w:rsidRDefault="006C6977" w:rsidP="00A51474">
      <w:pPr>
        <w:spacing w:after="160" w:line="276" w:lineRule="auto"/>
        <w:ind w:right="0"/>
        <w:rPr>
          <w:rFonts w:ascii="Compatil Fact LT Pro" w:eastAsia="Calibri" w:hAnsi="Compatil Fact LT Pro" w:cstheme="majorHAnsi"/>
          <w:color w:val="auto"/>
          <w:sz w:val="21"/>
          <w:szCs w:val="21"/>
          <w:lang w:val="en-AU"/>
        </w:rPr>
      </w:pPr>
      <w:r w:rsidRPr="006C6977">
        <w:rPr>
          <w:rFonts w:ascii="Compatil Fact LT Pro" w:eastAsia="Calibri" w:hAnsi="Compatil Fact LT Pro" w:cstheme="majorHAnsi"/>
          <w:color w:val="auto"/>
          <w:sz w:val="21"/>
          <w:szCs w:val="21"/>
          <w:lang w:val="en-AU"/>
        </w:rPr>
        <w:t>The change allows us to keep the same holdings and effectively keep the same exposure, however the move to a new fund creates opportunities for strategic changes, such as the incorporation of Russell</w:t>
      </w:r>
      <w:r w:rsidR="008F7362">
        <w:rPr>
          <w:rFonts w:ascii="Compatil Fact LT Pro" w:eastAsia="Calibri" w:hAnsi="Compatil Fact LT Pro" w:cstheme="majorHAnsi"/>
          <w:color w:val="auto"/>
          <w:sz w:val="21"/>
          <w:szCs w:val="21"/>
          <w:lang w:val="en-AU"/>
        </w:rPr>
        <w:t xml:space="preserve"> Investment</w:t>
      </w:r>
      <w:r w:rsidRPr="006C6977">
        <w:rPr>
          <w:rFonts w:ascii="Compatil Fact LT Pro" w:eastAsia="Calibri" w:hAnsi="Compatil Fact LT Pro" w:cstheme="majorHAnsi"/>
          <w:color w:val="auto"/>
          <w:sz w:val="21"/>
          <w:szCs w:val="21"/>
          <w:lang w:val="en-AU"/>
        </w:rPr>
        <w:t>s</w:t>
      </w:r>
      <w:r w:rsidR="008F7362">
        <w:rPr>
          <w:rFonts w:ascii="Compatil Fact LT Pro" w:eastAsia="Calibri" w:hAnsi="Compatil Fact LT Pro" w:cstheme="majorHAnsi"/>
          <w:color w:val="auto"/>
          <w:sz w:val="21"/>
          <w:szCs w:val="21"/>
          <w:lang w:val="en-AU"/>
        </w:rPr>
        <w:t>’</w:t>
      </w:r>
      <w:r w:rsidRPr="006C6977">
        <w:rPr>
          <w:rFonts w:ascii="Compatil Fact LT Pro" w:eastAsia="Calibri" w:hAnsi="Compatil Fact LT Pro" w:cstheme="majorHAnsi"/>
          <w:color w:val="auto"/>
          <w:sz w:val="21"/>
          <w:szCs w:val="21"/>
          <w:lang w:val="en-AU"/>
        </w:rPr>
        <w:t xml:space="preserve"> Decarbonisation 3.0 process, which builds on our current process by replacing the renewable energy score with a more comprehensive, investable, and globally available metric: climate solutions revenue. This shift broadens the scope of the framework by capturing companies across all sectors that contribute to the transition through climate-aligned products and services.</w:t>
      </w:r>
    </w:p>
    <w:p w14:paraId="35127999" w14:textId="5D79668A" w:rsidR="008674B7" w:rsidRPr="00A8377E" w:rsidRDefault="00A052F4" w:rsidP="002B3E2F">
      <w:pPr>
        <w:pStyle w:val="Heading1"/>
        <w:spacing w:before="0" w:after="120" w:line="276" w:lineRule="auto"/>
        <w:rPr>
          <w:rFonts w:ascii="Compatil Fact LT Pro" w:hAnsi="Compatil Fact LT Pro"/>
          <w:color w:val="005596" w:themeColor="accent4"/>
          <w:sz w:val="24"/>
          <w:szCs w:val="28"/>
        </w:rPr>
      </w:pPr>
      <w:r>
        <w:rPr>
          <w:rFonts w:ascii="Compatil Fact LT Pro" w:hAnsi="Compatil Fact LT Pro"/>
          <w:color w:val="005596" w:themeColor="accent4"/>
          <w:sz w:val="24"/>
          <w:szCs w:val="28"/>
        </w:rPr>
        <w:t>Specific portfolio changes</w:t>
      </w:r>
    </w:p>
    <w:p w14:paraId="2B171427" w14:textId="5563A70D" w:rsidR="00A052F4" w:rsidRPr="00F17AD6" w:rsidRDefault="00A052F4" w:rsidP="00A052F4">
      <w:pPr>
        <w:spacing w:after="160" w:line="276" w:lineRule="auto"/>
        <w:ind w:right="0"/>
        <w:rPr>
          <w:rFonts w:ascii="Compatil Fact LT Pro" w:eastAsia="Calibri" w:hAnsi="Compatil Fact LT Pro" w:cstheme="majorHAnsi"/>
          <w:b/>
          <w:bCs/>
          <w:color w:val="auto"/>
          <w:sz w:val="21"/>
          <w:szCs w:val="21"/>
          <w:lang w:val="en-AU"/>
        </w:rPr>
      </w:pPr>
      <w:r w:rsidRPr="00F17AD6">
        <w:rPr>
          <w:rFonts w:ascii="Compatil Fact LT Pro" w:eastAsia="Calibri" w:hAnsi="Compatil Fact LT Pro" w:cstheme="majorHAnsi"/>
          <w:b/>
          <w:bCs/>
          <w:color w:val="auto"/>
          <w:sz w:val="21"/>
          <w:szCs w:val="21"/>
          <w:lang w:val="en-AU"/>
        </w:rPr>
        <w:t xml:space="preserve">Direct Australian equity </w:t>
      </w:r>
      <w:r w:rsidR="00952B22">
        <w:rPr>
          <w:rFonts w:ascii="Compatil Fact LT Pro" w:eastAsia="Calibri" w:hAnsi="Compatil Fact LT Pro" w:cstheme="majorHAnsi"/>
          <w:b/>
          <w:bCs/>
          <w:color w:val="auto"/>
          <w:sz w:val="21"/>
          <w:szCs w:val="21"/>
          <w:lang w:val="en-AU"/>
        </w:rPr>
        <w:t xml:space="preserve">ESG </w:t>
      </w:r>
      <w:r w:rsidRPr="00F17AD6">
        <w:rPr>
          <w:rFonts w:ascii="Compatil Fact LT Pro" w:eastAsia="Calibri" w:hAnsi="Compatil Fact LT Pro" w:cstheme="majorHAnsi"/>
          <w:b/>
          <w:bCs/>
          <w:color w:val="auto"/>
          <w:sz w:val="21"/>
          <w:szCs w:val="21"/>
          <w:lang w:val="en-AU"/>
        </w:rPr>
        <w:t>portfolio</w:t>
      </w:r>
    </w:p>
    <w:p w14:paraId="3913B8E5" w14:textId="7B5E62EA" w:rsidR="00557CC8" w:rsidRDefault="00557CC8" w:rsidP="00557CC8">
      <w:pPr>
        <w:spacing w:after="160" w:line="276" w:lineRule="auto"/>
        <w:ind w:right="0"/>
        <w:rPr>
          <w:rFonts w:ascii="Compatil Fact LT Pro" w:eastAsia="Calibri" w:hAnsi="Compatil Fact LT Pro" w:cstheme="majorHAnsi"/>
          <w:color w:val="auto"/>
          <w:sz w:val="21"/>
          <w:szCs w:val="21"/>
          <w:lang w:val="en-AU"/>
        </w:rPr>
      </w:pPr>
      <w:r w:rsidRPr="00557CC8">
        <w:rPr>
          <w:rFonts w:ascii="Compatil Fact LT Pro" w:eastAsia="Calibri" w:hAnsi="Compatil Fact LT Pro" w:cstheme="majorHAnsi"/>
          <w:color w:val="auto"/>
          <w:sz w:val="21"/>
          <w:szCs w:val="21"/>
          <w:lang w:val="en-AU"/>
        </w:rPr>
        <w:t xml:space="preserve">In the Conservative and Diversified 50 portfolios, we have reduced some of our holdings in RGOS, the Russell Investments Sustainable Global Opportunities Complex ETF, which is unhedged global equities exposure, and added to the </w:t>
      </w:r>
      <w:r w:rsidR="00E62F31">
        <w:rPr>
          <w:rFonts w:ascii="Compatil Fact LT Pro" w:eastAsia="Calibri" w:hAnsi="Compatil Fact LT Pro" w:cstheme="majorHAnsi"/>
          <w:color w:val="auto"/>
          <w:sz w:val="21"/>
          <w:szCs w:val="21"/>
          <w:lang w:val="en-AU"/>
        </w:rPr>
        <w:t>Low Carbon Global Shares fund</w:t>
      </w:r>
      <w:r w:rsidRPr="00557CC8">
        <w:rPr>
          <w:rFonts w:ascii="Compatil Fact LT Pro" w:eastAsia="Calibri" w:hAnsi="Compatil Fact LT Pro" w:cstheme="majorHAnsi"/>
          <w:color w:val="auto"/>
          <w:sz w:val="21"/>
          <w:szCs w:val="21"/>
          <w:lang w:val="en-AU"/>
        </w:rPr>
        <w:t xml:space="preserve"> to more closely align our FX exposure. This is an increase in global equities hedged at the expense of hedged, 1.5% for Conservative and 1% for Diversified 50. </w:t>
      </w:r>
    </w:p>
    <w:p w14:paraId="5632E029" w14:textId="1E74B8F2" w:rsidR="00B44C1F" w:rsidRPr="00557CC8" w:rsidRDefault="00DF4570" w:rsidP="00557CC8">
      <w:pPr>
        <w:spacing w:after="160" w:line="276" w:lineRule="auto"/>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t xml:space="preserve">Water flow and control manufacturer Reliance Worldwide Corporation (RWC) has been removed from the ASX 100 and thus has been taken out of the direct shares portfolio. </w:t>
      </w:r>
      <w:r w:rsidR="00DF6852">
        <w:rPr>
          <w:rFonts w:ascii="Compatil Fact LT Pro" w:eastAsia="Calibri" w:hAnsi="Compatil Fact LT Pro" w:cstheme="majorHAnsi"/>
          <w:color w:val="auto"/>
          <w:sz w:val="21"/>
          <w:szCs w:val="21"/>
          <w:lang w:val="en-AU"/>
        </w:rPr>
        <w:t>While a small position, RWC was included because it screened well on value</w:t>
      </w:r>
      <w:r w:rsidR="005D1FC5">
        <w:rPr>
          <w:rFonts w:ascii="Compatil Fact LT Pro" w:eastAsia="Calibri" w:hAnsi="Compatil Fact LT Pro" w:cstheme="majorHAnsi"/>
          <w:color w:val="auto"/>
          <w:sz w:val="21"/>
          <w:szCs w:val="21"/>
          <w:lang w:val="en-AU"/>
        </w:rPr>
        <w:t xml:space="preserve">; we have recycled this position into the Perpetual ESG Australia equity strategy, which has a value tilt. </w:t>
      </w:r>
    </w:p>
    <w:p w14:paraId="5E3EA7B9" w14:textId="0D6E03A3" w:rsidR="002B3E2F" w:rsidRPr="008674B7" w:rsidRDefault="00557CC8" w:rsidP="008674B7">
      <w:pPr>
        <w:spacing w:after="160" w:line="276" w:lineRule="auto"/>
        <w:ind w:right="0"/>
        <w:rPr>
          <w:rFonts w:ascii="Compatil Fact LT Pro" w:eastAsia="Calibri" w:hAnsi="Compatil Fact LT Pro" w:cstheme="majorHAnsi"/>
          <w:color w:val="auto"/>
          <w:sz w:val="21"/>
          <w:szCs w:val="21"/>
          <w:lang w:val="en-AU"/>
        </w:rPr>
      </w:pPr>
      <w:r w:rsidRPr="00557CC8">
        <w:rPr>
          <w:rFonts w:ascii="Compatil Fact LT Pro" w:eastAsia="Calibri" w:hAnsi="Compatil Fact LT Pro" w:cstheme="majorHAnsi"/>
          <w:color w:val="auto"/>
          <w:sz w:val="21"/>
          <w:szCs w:val="21"/>
          <w:lang w:val="en-AU"/>
        </w:rPr>
        <w:t>In the Balanced, Growth, and High Growth portfolios, there is no change to asset allocation.</w:t>
      </w:r>
    </w:p>
    <w:p w14:paraId="4625F877" w14:textId="4887207C" w:rsidR="00277570" w:rsidRPr="00A052F4" w:rsidRDefault="00277570"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lastRenderedPageBreak/>
        <w:t>Changes in asset allocation (%)</w:t>
      </w:r>
    </w:p>
    <w:tbl>
      <w:tblPr>
        <w:tblW w:w="10206" w:type="dxa"/>
        <w:tblBorders>
          <w:top w:val="single" w:sz="24" w:space="0" w:color="auto"/>
          <w:bottom w:val="single" w:sz="8" w:space="0" w:color="auto"/>
          <w:insideH w:val="single" w:sz="8" w:space="0" w:color="auto"/>
        </w:tblBorders>
        <w:tblLayout w:type="fixed"/>
        <w:tblCellMar>
          <w:left w:w="0" w:type="dxa"/>
          <w:right w:w="0" w:type="dxa"/>
        </w:tblCellMar>
        <w:tblLook w:val="04A0" w:firstRow="1" w:lastRow="0" w:firstColumn="1" w:lastColumn="0" w:noHBand="0" w:noVBand="1"/>
      </w:tblPr>
      <w:tblGrid>
        <w:gridCol w:w="2127"/>
        <w:gridCol w:w="1984"/>
        <w:gridCol w:w="1134"/>
        <w:gridCol w:w="1843"/>
        <w:gridCol w:w="1134"/>
        <w:gridCol w:w="1984"/>
      </w:tblGrid>
      <w:tr w:rsidR="00277570" w:rsidRPr="007068B6" w14:paraId="746EEE87" w14:textId="77777777" w:rsidTr="00003560">
        <w:trPr>
          <w:trHeight w:val="638"/>
        </w:trPr>
        <w:tc>
          <w:tcPr>
            <w:tcW w:w="2127" w:type="dxa"/>
            <w:tcBorders>
              <w:top w:val="single" w:sz="24"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39B9B7A3" w14:textId="2F9D19A4" w:rsidR="00277570" w:rsidRPr="007068B6" w:rsidRDefault="00277570" w:rsidP="00003560">
            <w:pPr>
              <w:spacing w:after="160" w:line="276" w:lineRule="auto"/>
              <w:ind w:right="0"/>
              <w:rPr>
                <w:rFonts w:ascii="Arial" w:hAnsi="Arial" w:cs="Arial"/>
                <w:b/>
                <w:bCs/>
                <w:color w:val="auto"/>
                <w:szCs w:val="18"/>
              </w:rPr>
            </w:pPr>
            <w:r w:rsidRPr="00003560">
              <w:rPr>
                <w:rFonts w:ascii="Compatil Fact LT Pro" w:eastAsia="Calibri" w:hAnsi="Compatil Fact LT Pro" w:cstheme="majorHAnsi"/>
                <w:b/>
                <w:bCs/>
                <w:color w:val="auto"/>
                <w:sz w:val="19"/>
                <w:szCs w:val="19"/>
                <w:lang w:val="en-AU"/>
              </w:rPr>
              <w:t>ASSET</w:t>
            </w:r>
            <w:r w:rsidR="00DD399C">
              <w:rPr>
                <w:rFonts w:ascii="Compatil Fact LT Pro" w:eastAsia="Calibri" w:hAnsi="Compatil Fact LT Pro" w:cstheme="majorHAnsi"/>
                <w:b/>
                <w:bCs/>
                <w:color w:val="auto"/>
                <w:sz w:val="19"/>
                <w:szCs w:val="19"/>
                <w:lang w:val="en-AU"/>
              </w:rPr>
              <w:t xml:space="preserve"> CLASS</w:t>
            </w:r>
          </w:p>
        </w:tc>
        <w:tc>
          <w:tcPr>
            <w:tcW w:w="8079" w:type="dxa"/>
            <w:gridSpan w:val="5"/>
            <w:tcBorders>
              <w:top w:val="single" w:sz="24"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24C6A9DB" w14:textId="77777777" w:rsidR="00277570" w:rsidRPr="007068B6" w:rsidRDefault="00277570" w:rsidP="00003560">
            <w:pPr>
              <w:spacing w:after="160" w:line="276" w:lineRule="auto"/>
              <w:ind w:right="0"/>
              <w:jc w:val="center"/>
              <w:rPr>
                <w:rFonts w:ascii="Arial" w:hAnsi="Arial" w:cs="Arial"/>
                <w:b/>
                <w:bCs/>
                <w:color w:val="auto"/>
                <w:szCs w:val="18"/>
              </w:rPr>
            </w:pPr>
            <w:r w:rsidRPr="00003560">
              <w:rPr>
                <w:rFonts w:ascii="Compatil Fact LT Pro" w:eastAsia="Calibri" w:hAnsi="Compatil Fact LT Pro" w:cstheme="majorHAnsi"/>
                <w:b/>
                <w:bCs/>
                <w:color w:val="auto"/>
                <w:sz w:val="19"/>
                <w:szCs w:val="19"/>
                <w:lang w:val="en-AU"/>
              </w:rPr>
              <w:t>RISK PROFILE</w:t>
            </w:r>
          </w:p>
        </w:tc>
      </w:tr>
      <w:tr w:rsidR="00277570" w:rsidRPr="007068B6" w14:paraId="3F3B346B" w14:textId="77777777" w:rsidTr="00003560">
        <w:trPr>
          <w:trHeight w:val="638"/>
        </w:trPr>
        <w:tc>
          <w:tcPr>
            <w:tcW w:w="2127"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hideMark/>
          </w:tcPr>
          <w:p w14:paraId="5EC1A52E" w14:textId="77777777" w:rsidR="00277570" w:rsidRPr="007068B6" w:rsidRDefault="00277570" w:rsidP="000A3440">
            <w:pPr>
              <w:spacing w:before="60"/>
              <w:ind w:right="22"/>
              <w:rPr>
                <w:rFonts w:ascii="Arial" w:hAnsi="Arial" w:cs="Arial"/>
                <w:b/>
                <w:bCs/>
                <w:color w:val="auto"/>
                <w:szCs w:val="18"/>
              </w:rPr>
            </w:pPr>
          </w:p>
        </w:tc>
        <w:tc>
          <w:tcPr>
            <w:tcW w:w="1984"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tcPr>
          <w:p w14:paraId="45EAC488" w14:textId="77777777" w:rsidR="00277570" w:rsidRPr="00003560" w:rsidRDefault="00277570" w:rsidP="00003560">
            <w:pPr>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CONSERVATIVE</w:t>
            </w:r>
          </w:p>
        </w:tc>
        <w:tc>
          <w:tcPr>
            <w:tcW w:w="1134"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hideMark/>
          </w:tcPr>
          <w:p w14:paraId="5A8261AF" w14:textId="07CBB9C7" w:rsidR="00277570" w:rsidRPr="00003560" w:rsidRDefault="00277570" w:rsidP="00003560">
            <w:pPr>
              <w:tabs>
                <w:tab w:val="left" w:pos="1160"/>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DIV 50</w:t>
            </w:r>
          </w:p>
        </w:tc>
        <w:tc>
          <w:tcPr>
            <w:tcW w:w="1843" w:type="dxa"/>
            <w:tcBorders>
              <w:top w:val="single" w:sz="4" w:space="0" w:color="auto"/>
              <w:bottom w:val="single" w:sz="24" w:space="0" w:color="auto"/>
            </w:tcBorders>
            <w:shd w:val="clear" w:color="auto" w:fill="D9D9D9" w:themeFill="background1" w:themeFillShade="D9"/>
            <w:vAlign w:val="center"/>
          </w:tcPr>
          <w:p w14:paraId="56EA4CF7" w14:textId="78364FA7" w:rsidR="00277570" w:rsidRPr="00003560" w:rsidRDefault="00277570" w:rsidP="00003560">
            <w:pPr>
              <w:tabs>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BALANCED</w:t>
            </w:r>
          </w:p>
        </w:tc>
        <w:tc>
          <w:tcPr>
            <w:tcW w:w="1134" w:type="dxa"/>
            <w:tcBorders>
              <w:top w:val="single" w:sz="4" w:space="0" w:color="auto"/>
              <w:bottom w:val="single" w:sz="24" w:space="0" w:color="auto"/>
            </w:tcBorders>
            <w:shd w:val="clear" w:color="auto" w:fill="D9D9D9" w:themeFill="background1" w:themeFillShade="D9"/>
            <w:vAlign w:val="center"/>
          </w:tcPr>
          <w:p w14:paraId="75978A20" w14:textId="77777777" w:rsidR="00277570" w:rsidRPr="00003560" w:rsidRDefault="00277570" w:rsidP="00003560">
            <w:pPr>
              <w:tabs>
                <w:tab w:val="left" w:pos="1274"/>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GROWTH</w:t>
            </w:r>
          </w:p>
        </w:tc>
        <w:tc>
          <w:tcPr>
            <w:tcW w:w="1984" w:type="dxa"/>
            <w:tcBorders>
              <w:top w:val="single" w:sz="4" w:space="0" w:color="auto"/>
              <w:bottom w:val="single" w:sz="24" w:space="0" w:color="auto"/>
            </w:tcBorders>
            <w:shd w:val="clear" w:color="auto" w:fill="D9D9D9" w:themeFill="background1" w:themeFillShade="D9"/>
            <w:vAlign w:val="center"/>
          </w:tcPr>
          <w:p w14:paraId="519AEB21" w14:textId="77777777" w:rsidR="00277570" w:rsidRPr="00003560" w:rsidRDefault="00277570" w:rsidP="00003560">
            <w:pPr>
              <w:tabs>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HIGH GROWTH</w:t>
            </w:r>
          </w:p>
        </w:tc>
      </w:tr>
      <w:tr w:rsidR="001E657A" w:rsidRPr="001E657A" w14:paraId="121A9B3C"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468B8BD0" w14:textId="2D5DC218"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equities</w:t>
            </w:r>
            <w:r w:rsidR="00D850EF">
              <w:rPr>
                <w:rFonts w:ascii="Compatil Fact LT Pro" w:eastAsia="Calibri" w:hAnsi="Compatil Fact LT Pro" w:cstheme="majorHAnsi"/>
                <w:color w:val="auto"/>
                <w:sz w:val="19"/>
                <w:szCs w:val="19"/>
                <w:lang w:val="en-AU"/>
              </w:rPr>
              <w:t xml:space="preserve"> (hedged)</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27F7D5B" w14:textId="2C86D2F7" w:rsidR="001E657A" w:rsidRPr="001E657A" w:rsidRDefault="00CF2F50" w:rsidP="001E657A">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1.5</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1FF90140" w14:textId="3D9E4286"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w:t>
            </w:r>
            <w:r w:rsidR="00CF2F50">
              <w:rPr>
                <w:rFonts w:ascii="Compatil Fact LT Pro" w:eastAsia="Calibri" w:hAnsi="Compatil Fact LT Pro" w:cstheme="majorHAnsi"/>
                <w:color w:val="auto"/>
                <w:sz w:val="19"/>
                <w:szCs w:val="19"/>
                <w:lang w:val="en-AU"/>
              </w:rPr>
              <w:t>.0</w:t>
            </w:r>
          </w:p>
        </w:tc>
        <w:tc>
          <w:tcPr>
            <w:tcW w:w="1843" w:type="dxa"/>
            <w:tcBorders>
              <w:top w:val="single" w:sz="8" w:space="0" w:color="auto"/>
              <w:bottom w:val="single" w:sz="8" w:space="0" w:color="auto"/>
            </w:tcBorders>
            <w:vAlign w:val="center"/>
          </w:tcPr>
          <w:p w14:paraId="2EB1AB06" w14:textId="2F86B2FB" w:rsidR="001E657A" w:rsidRPr="001E657A" w:rsidRDefault="002D052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70FAD68D" w14:textId="0AB16F6C" w:rsidR="001E657A" w:rsidRPr="001E657A" w:rsidRDefault="002D052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6205C31A" w14:textId="7632B93B" w:rsidR="001E657A" w:rsidRPr="001E657A" w:rsidRDefault="002D052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1AC7EA6F"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5ED82CD0" w14:textId="4C09ECD0"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equities</w:t>
            </w:r>
            <w:r>
              <w:rPr>
                <w:rFonts w:ascii="Compatil Fact LT Pro" w:eastAsia="Calibri" w:hAnsi="Compatil Fact LT Pro" w:cstheme="majorHAnsi"/>
                <w:color w:val="auto"/>
                <w:sz w:val="19"/>
                <w:szCs w:val="19"/>
                <w:lang w:val="en-AU"/>
              </w:rPr>
              <w:t xml:space="preserve"> (</w:t>
            </w:r>
            <w:r w:rsidR="00CF2F50">
              <w:rPr>
                <w:rFonts w:ascii="Compatil Fact LT Pro" w:eastAsia="Calibri" w:hAnsi="Compatil Fact LT Pro" w:cstheme="majorHAnsi"/>
                <w:color w:val="auto"/>
                <w:sz w:val="19"/>
                <w:szCs w:val="19"/>
                <w:lang w:val="en-AU"/>
              </w:rPr>
              <w:t>unhedged</w:t>
            </w:r>
            <w:r>
              <w:rPr>
                <w:rFonts w:ascii="Compatil Fact LT Pro" w:eastAsia="Calibri" w:hAnsi="Compatil Fact LT Pro" w:cstheme="majorHAnsi"/>
                <w:color w:val="auto"/>
                <w:sz w:val="19"/>
                <w:szCs w:val="19"/>
                <w:lang w:val="en-AU"/>
              </w:rPr>
              <w:t>)</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263C18A2" w14:textId="1C46F00C" w:rsidR="00D850EF" w:rsidRPr="001E657A" w:rsidRDefault="00CF2F50" w:rsidP="00D850EF">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-1.5</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6A89B5FF" w14:textId="4A3BAE51" w:rsidR="00D850EF" w:rsidRPr="001E657A" w:rsidRDefault="00CF2F50" w:rsidP="00D850EF">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-1.0</w:t>
            </w:r>
          </w:p>
        </w:tc>
        <w:tc>
          <w:tcPr>
            <w:tcW w:w="1843" w:type="dxa"/>
            <w:tcBorders>
              <w:top w:val="single" w:sz="8" w:space="0" w:color="auto"/>
              <w:bottom w:val="single" w:sz="8" w:space="0" w:color="auto"/>
            </w:tcBorders>
            <w:vAlign w:val="center"/>
          </w:tcPr>
          <w:p w14:paraId="4017EBDA" w14:textId="761EE9B4"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70BFD978" w14:textId="4B8D858F"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0B06B12E" w14:textId="161567F2"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1AB414CD" w14:textId="77777777" w:rsidTr="001E657A">
        <w:trPr>
          <w:trHeight w:val="91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02F76F78" w14:textId="77777777"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equities</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697BF88D" w14:textId="3DDE42B3"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53FB2EA3" w14:textId="41F71FDE"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663905E5" w14:textId="307E32C0"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34A40480" w14:textId="2E2CCD75"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134D61F8" w14:textId="3DF95EDE"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41D35F96" w14:textId="77777777" w:rsidTr="001E657A">
        <w:trPr>
          <w:trHeight w:val="91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37C74F30" w14:textId="77777777"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listed property</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435BB5A" w14:textId="3765CE04"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4C616082" w14:textId="4684E5C4"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4EC03BF5" w14:textId="13300616"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3FC912F3" w14:textId="50AB9217"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1FE8D22A" w14:textId="4C1ABE93"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555C0CA2"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462A4DDD" w14:textId="2B887C76"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listed property</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5FF9F385" w14:textId="6738F280"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13002629" w14:textId="5FE75041"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07C4BB81" w14:textId="0F1A6270"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2159F7B7" w14:textId="493C5B30"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1380F5A2" w14:textId="60BEF104"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011AD368"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32CA1519" w14:textId="08D5F122"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fixed income</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0D982F96" w14:textId="2E3AC882"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22663641" w14:textId="2CB6E14A"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463C2E42" w14:textId="7B8DEDA6"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0DC7813B" w14:textId="32BED6AB"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39B57373" w14:textId="2E0899D9" w:rsidR="00D850EF" w:rsidRPr="001E657A" w:rsidRDefault="00D850EF"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3BCCCCBF"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7D9FC6D2" w14:textId="43B081D5"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fixed income</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59B6EE1" w14:textId="1043F497"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66F9B309" w14:textId="33CB70B2"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14563F82" w14:textId="41D66F87"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4BCF0C88" w14:textId="322A72E3"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6120A0FC" w14:textId="77777777" w:rsidR="00D850EF" w:rsidRPr="001E657A" w:rsidRDefault="00D850EF"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D850EF" w:rsidRPr="001E657A" w14:paraId="562C70A1" w14:textId="77777777" w:rsidTr="001E657A">
        <w:trPr>
          <w:trHeight w:val="75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13B95BEB" w14:textId="1A0B72A7" w:rsidR="00D850EF" w:rsidRPr="001E657A" w:rsidRDefault="00D850EF" w:rsidP="00D850EF">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Cash</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4907F20E" w14:textId="3451EF62"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50DDD8F4" w14:textId="6D6D0A86"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69D8E89F" w14:textId="3B58A568"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134" w:type="dxa"/>
            <w:tcBorders>
              <w:top w:val="single" w:sz="8" w:space="0" w:color="auto"/>
              <w:bottom w:val="single" w:sz="8" w:space="0" w:color="auto"/>
            </w:tcBorders>
            <w:vAlign w:val="center"/>
          </w:tcPr>
          <w:p w14:paraId="41610FC0" w14:textId="4F1ECACF"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984" w:type="dxa"/>
            <w:tcBorders>
              <w:top w:val="single" w:sz="8" w:space="0" w:color="auto"/>
              <w:bottom w:val="single" w:sz="8" w:space="0" w:color="auto"/>
            </w:tcBorders>
            <w:vAlign w:val="center"/>
          </w:tcPr>
          <w:p w14:paraId="43A6197C" w14:textId="0D97CC1C" w:rsidR="00D850EF" w:rsidRPr="001E657A" w:rsidRDefault="002D052A" w:rsidP="00D850EF">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bl>
    <w:p w14:paraId="66362493" w14:textId="77777777" w:rsidR="00277570" w:rsidRPr="00FD3653" w:rsidRDefault="00277570" w:rsidP="00FD3653">
      <w:pPr>
        <w:spacing w:after="160" w:line="276" w:lineRule="auto"/>
        <w:ind w:right="0"/>
        <w:rPr>
          <w:rFonts w:ascii="Compatil Fact LT Pro" w:eastAsia="Calibri" w:hAnsi="Compatil Fact LT Pro" w:cstheme="majorHAnsi"/>
          <w:color w:val="auto"/>
          <w:sz w:val="21"/>
          <w:szCs w:val="21"/>
          <w:lang w:val="en-AU"/>
        </w:rPr>
      </w:pPr>
    </w:p>
    <w:p w14:paraId="09548CD0" w14:textId="36BCCEE7" w:rsidR="00277570" w:rsidRDefault="00277570">
      <w:pPr>
        <w:spacing w:after="0"/>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br w:type="page"/>
      </w:r>
    </w:p>
    <w:p w14:paraId="15043858" w14:textId="7FB71A19" w:rsidR="00277570" w:rsidRPr="00A052F4" w:rsidRDefault="00277570"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lastRenderedPageBreak/>
        <w:t xml:space="preserve">Final asset class </w:t>
      </w:r>
      <w:r w:rsidR="00F91360">
        <w:rPr>
          <w:rFonts w:ascii="Compatil Fact LT Pro" w:hAnsi="Compatil Fact LT Pro"/>
          <w:color w:val="005596" w:themeColor="accent4"/>
          <w:sz w:val="24"/>
          <w:szCs w:val="28"/>
        </w:rPr>
        <w:t xml:space="preserve">allocations </w:t>
      </w:r>
      <w:r w:rsidRPr="00A052F4">
        <w:rPr>
          <w:rFonts w:ascii="Compatil Fact LT Pro" w:hAnsi="Compatil Fact LT Pro"/>
          <w:color w:val="005596" w:themeColor="accent4"/>
          <w:sz w:val="24"/>
          <w:szCs w:val="28"/>
        </w:rPr>
        <w:t>after these changes (%)</w:t>
      </w:r>
      <w:r w:rsidRPr="00A052F4">
        <w:rPr>
          <w:rFonts w:ascii="Compatil Fact LT Pro" w:hAnsi="Compatil Fact LT Pro"/>
          <w:color w:val="005596" w:themeColor="accent4"/>
          <w:sz w:val="24"/>
          <w:szCs w:val="28"/>
          <w:vertAlign w:val="superscript"/>
        </w:rPr>
        <w:footnoteReference w:id="1"/>
      </w:r>
    </w:p>
    <w:tbl>
      <w:tblPr>
        <w:tblW w:w="10065" w:type="dxa"/>
        <w:tblBorders>
          <w:top w:val="single" w:sz="24" w:space="0" w:color="auto"/>
          <w:bottom w:val="single" w:sz="8" w:space="0" w:color="auto"/>
          <w:insideH w:val="single" w:sz="8" w:space="0" w:color="auto"/>
        </w:tblBorders>
        <w:tblLayout w:type="fixed"/>
        <w:tblCellMar>
          <w:left w:w="0" w:type="dxa"/>
          <w:right w:w="0" w:type="dxa"/>
        </w:tblCellMar>
        <w:tblLook w:val="04A0" w:firstRow="1" w:lastRow="0" w:firstColumn="1" w:lastColumn="0" w:noHBand="0" w:noVBand="1"/>
      </w:tblPr>
      <w:tblGrid>
        <w:gridCol w:w="1985"/>
        <w:gridCol w:w="1701"/>
        <w:gridCol w:w="1276"/>
        <w:gridCol w:w="1842"/>
        <w:gridCol w:w="1276"/>
        <w:gridCol w:w="1985"/>
      </w:tblGrid>
      <w:tr w:rsidR="00277570" w:rsidRPr="00143C2F" w14:paraId="2C7B931D" w14:textId="77777777" w:rsidTr="001040BA">
        <w:trPr>
          <w:trHeight w:val="638"/>
        </w:trPr>
        <w:tc>
          <w:tcPr>
            <w:tcW w:w="1985" w:type="dxa"/>
            <w:tcBorders>
              <w:top w:val="single" w:sz="24" w:space="0" w:color="auto"/>
              <w:bottom w:val="nil"/>
            </w:tcBorders>
            <w:shd w:val="clear" w:color="auto" w:fill="D9D9D9" w:themeFill="background1" w:themeFillShade="D9"/>
            <w:tcMar>
              <w:top w:w="0" w:type="dxa"/>
              <w:left w:w="108" w:type="dxa"/>
              <w:bottom w:w="0" w:type="dxa"/>
              <w:right w:w="108" w:type="dxa"/>
            </w:tcMar>
          </w:tcPr>
          <w:p w14:paraId="5DF234C6" w14:textId="77777777" w:rsidR="00277570" w:rsidRPr="00143C2F" w:rsidRDefault="00277570" w:rsidP="000A344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ASSET CLASS</w:t>
            </w:r>
          </w:p>
        </w:tc>
        <w:tc>
          <w:tcPr>
            <w:tcW w:w="8080" w:type="dxa"/>
            <w:gridSpan w:val="5"/>
            <w:tcBorders>
              <w:top w:val="single" w:sz="24" w:space="0" w:color="auto"/>
              <w:bottom w:val="single" w:sz="2" w:space="0" w:color="auto"/>
            </w:tcBorders>
            <w:shd w:val="clear" w:color="auto" w:fill="D9D9D9" w:themeFill="background1" w:themeFillShade="D9"/>
            <w:tcMar>
              <w:top w:w="0" w:type="dxa"/>
              <w:left w:w="108" w:type="dxa"/>
              <w:bottom w:w="0" w:type="dxa"/>
              <w:right w:w="108" w:type="dxa"/>
            </w:tcMar>
          </w:tcPr>
          <w:p w14:paraId="2FDF8199" w14:textId="77777777" w:rsidR="00277570" w:rsidRPr="00143C2F" w:rsidRDefault="00277570"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RISK PROFILE</w:t>
            </w:r>
          </w:p>
        </w:tc>
      </w:tr>
      <w:tr w:rsidR="001040BA" w:rsidRPr="00143C2F" w14:paraId="7C40F10B" w14:textId="77777777" w:rsidTr="001040BA">
        <w:trPr>
          <w:trHeight w:val="638"/>
        </w:trPr>
        <w:tc>
          <w:tcPr>
            <w:tcW w:w="1985" w:type="dxa"/>
            <w:tcBorders>
              <w:top w:val="nil"/>
              <w:bottom w:val="single" w:sz="24" w:space="0" w:color="auto"/>
            </w:tcBorders>
            <w:shd w:val="clear" w:color="auto" w:fill="D9D9D9" w:themeFill="background1" w:themeFillShade="D9"/>
            <w:tcMar>
              <w:top w:w="0" w:type="dxa"/>
              <w:left w:w="108" w:type="dxa"/>
              <w:bottom w:w="0" w:type="dxa"/>
              <w:right w:w="108" w:type="dxa"/>
            </w:tcMar>
            <w:hideMark/>
          </w:tcPr>
          <w:p w14:paraId="1BC792C8" w14:textId="77777777" w:rsidR="001040BA" w:rsidRPr="00143C2F" w:rsidRDefault="001040BA" w:rsidP="000A3440">
            <w:pPr>
              <w:spacing w:after="160" w:line="276" w:lineRule="auto"/>
              <w:ind w:right="0"/>
              <w:rPr>
                <w:rFonts w:ascii="Compatil Fact LT Pro" w:eastAsia="Calibri" w:hAnsi="Compatil Fact LT Pro" w:cstheme="majorHAnsi"/>
                <w:b/>
                <w:bCs/>
                <w:color w:val="auto"/>
                <w:sz w:val="19"/>
                <w:szCs w:val="19"/>
                <w:lang w:val="en-AU"/>
              </w:rPr>
            </w:pPr>
          </w:p>
        </w:tc>
        <w:tc>
          <w:tcPr>
            <w:tcW w:w="1701" w:type="dxa"/>
            <w:tcBorders>
              <w:top w:val="single" w:sz="2" w:space="0" w:color="auto"/>
              <w:bottom w:val="single" w:sz="24" w:space="0" w:color="auto"/>
            </w:tcBorders>
            <w:shd w:val="clear" w:color="auto" w:fill="D9D9D9" w:themeFill="background1" w:themeFillShade="D9"/>
            <w:tcMar>
              <w:top w:w="0" w:type="dxa"/>
              <w:left w:w="108" w:type="dxa"/>
              <w:bottom w:w="0" w:type="dxa"/>
              <w:right w:w="108" w:type="dxa"/>
            </w:tcMar>
          </w:tcPr>
          <w:p w14:paraId="5256D4ED"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CONSERVATIVE</w:t>
            </w:r>
          </w:p>
        </w:tc>
        <w:tc>
          <w:tcPr>
            <w:tcW w:w="1276" w:type="dxa"/>
            <w:tcBorders>
              <w:top w:val="single" w:sz="2" w:space="0" w:color="auto"/>
              <w:bottom w:val="single" w:sz="24" w:space="0" w:color="auto"/>
            </w:tcBorders>
            <w:shd w:val="clear" w:color="auto" w:fill="D9D9D9" w:themeFill="background1" w:themeFillShade="D9"/>
            <w:tcMar>
              <w:top w:w="0" w:type="dxa"/>
              <w:left w:w="108" w:type="dxa"/>
              <w:bottom w:w="0" w:type="dxa"/>
              <w:right w:w="108" w:type="dxa"/>
            </w:tcMar>
            <w:hideMark/>
          </w:tcPr>
          <w:p w14:paraId="683372DE"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DIV 50</w:t>
            </w:r>
          </w:p>
        </w:tc>
        <w:tc>
          <w:tcPr>
            <w:tcW w:w="1842" w:type="dxa"/>
            <w:tcBorders>
              <w:top w:val="single" w:sz="2" w:space="0" w:color="auto"/>
              <w:bottom w:val="single" w:sz="24" w:space="0" w:color="auto"/>
            </w:tcBorders>
            <w:shd w:val="clear" w:color="auto" w:fill="D9D9D9" w:themeFill="background1" w:themeFillShade="D9"/>
          </w:tcPr>
          <w:p w14:paraId="18CAA8A2"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BALANCED</w:t>
            </w:r>
          </w:p>
        </w:tc>
        <w:tc>
          <w:tcPr>
            <w:tcW w:w="1276" w:type="dxa"/>
            <w:tcBorders>
              <w:top w:val="single" w:sz="2" w:space="0" w:color="auto"/>
              <w:bottom w:val="single" w:sz="24" w:space="0" w:color="auto"/>
            </w:tcBorders>
            <w:shd w:val="clear" w:color="auto" w:fill="D9D9D9" w:themeFill="background1" w:themeFillShade="D9"/>
          </w:tcPr>
          <w:p w14:paraId="31B41D9A"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GROWTH</w:t>
            </w:r>
          </w:p>
        </w:tc>
        <w:tc>
          <w:tcPr>
            <w:tcW w:w="1985" w:type="dxa"/>
            <w:tcBorders>
              <w:top w:val="single" w:sz="2" w:space="0" w:color="auto"/>
              <w:bottom w:val="single" w:sz="24" w:space="0" w:color="auto"/>
            </w:tcBorders>
            <w:shd w:val="clear" w:color="auto" w:fill="D9D9D9" w:themeFill="background1" w:themeFillShade="D9"/>
          </w:tcPr>
          <w:p w14:paraId="65E0731C"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HIGH GROWTH</w:t>
            </w:r>
          </w:p>
        </w:tc>
      </w:tr>
      <w:tr w:rsidR="006E46F0" w:rsidRPr="006E46F0" w14:paraId="779B8412" w14:textId="77777777" w:rsidTr="006E46F0">
        <w:trPr>
          <w:trHeight w:val="574"/>
        </w:trPr>
        <w:tc>
          <w:tcPr>
            <w:tcW w:w="1985"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626C3B97" w14:textId="77777777" w:rsidR="006E46F0" w:rsidRPr="00143C2F" w:rsidRDefault="006E46F0" w:rsidP="006E46F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GROWTH ASSETS</w:t>
            </w:r>
          </w:p>
        </w:tc>
        <w:tc>
          <w:tcPr>
            <w:tcW w:w="1701"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6D36EECA" w14:textId="3A8041C6"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35.</w:t>
            </w:r>
            <w:r w:rsidR="00E62F31">
              <w:rPr>
                <w:rFonts w:ascii="Compatil Fact LT Pro" w:hAnsi="Compatil Fact LT Pro" w:cs="Arial"/>
                <w:b/>
                <w:bCs/>
                <w:color w:val="000000"/>
                <w:sz w:val="19"/>
                <w:szCs w:val="19"/>
                <w:lang w:eastAsia="en-AU"/>
              </w:rPr>
              <w:t>5</w:t>
            </w:r>
          </w:p>
        </w:tc>
        <w:tc>
          <w:tcPr>
            <w:tcW w:w="1276"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vAlign w:val="center"/>
          </w:tcPr>
          <w:p w14:paraId="6F739A8A" w14:textId="4F5D4406"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53.</w:t>
            </w:r>
            <w:r w:rsidR="00E62F31">
              <w:rPr>
                <w:rFonts w:ascii="Compatil Fact LT Pro" w:hAnsi="Compatil Fact LT Pro" w:cs="Arial"/>
                <w:b/>
                <w:bCs/>
                <w:color w:val="000000"/>
                <w:sz w:val="19"/>
                <w:szCs w:val="19"/>
                <w:lang w:eastAsia="en-AU"/>
              </w:rPr>
              <w:t>9</w:t>
            </w:r>
          </w:p>
        </w:tc>
        <w:tc>
          <w:tcPr>
            <w:tcW w:w="1842" w:type="dxa"/>
            <w:tcBorders>
              <w:top w:val="single" w:sz="8" w:space="0" w:color="auto"/>
              <w:bottom w:val="single" w:sz="8" w:space="0" w:color="auto"/>
            </w:tcBorders>
            <w:shd w:val="clear" w:color="auto" w:fill="D9D9D9" w:themeFill="background1" w:themeFillShade="D9"/>
            <w:vAlign w:val="center"/>
          </w:tcPr>
          <w:p w14:paraId="40FC9459" w14:textId="6A0D8D5D" w:rsidR="006E46F0" w:rsidRPr="006E46F0" w:rsidRDefault="00E62F31" w:rsidP="006E46F0">
            <w:pPr>
              <w:spacing w:after="160" w:line="276" w:lineRule="auto"/>
              <w:ind w:right="0"/>
              <w:jc w:val="center"/>
              <w:rPr>
                <w:rFonts w:ascii="Compatil Fact LT Pro" w:hAnsi="Compatil Fact LT Pro" w:cs="Arial"/>
                <w:b/>
                <w:bCs/>
                <w:color w:val="000000"/>
                <w:sz w:val="19"/>
                <w:szCs w:val="19"/>
                <w:lang w:eastAsia="en-AU"/>
              </w:rPr>
            </w:pPr>
            <w:r>
              <w:rPr>
                <w:rFonts w:ascii="Compatil Fact LT Pro" w:hAnsi="Compatil Fact LT Pro" w:cs="Arial"/>
                <w:b/>
                <w:bCs/>
                <w:color w:val="000000"/>
                <w:sz w:val="19"/>
                <w:szCs w:val="19"/>
                <w:lang w:eastAsia="en-AU"/>
              </w:rPr>
              <w:t>70.1</w:t>
            </w:r>
          </w:p>
        </w:tc>
        <w:tc>
          <w:tcPr>
            <w:tcW w:w="1276" w:type="dxa"/>
            <w:tcBorders>
              <w:top w:val="single" w:sz="8" w:space="0" w:color="auto"/>
              <w:bottom w:val="single" w:sz="8" w:space="0" w:color="auto"/>
            </w:tcBorders>
            <w:shd w:val="clear" w:color="auto" w:fill="D9D9D9" w:themeFill="background1" w:themeFillShade="D9"/>
            <w:vAlign w:val="center"/>
          </w:tcPr>
          <w:p w14:paraId="34D3E9AF" w14:textId="6D9AB295"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86.</w:t>
            </w:r>
            <w:r w:rsidR="00E62F31">
              <w:rPr>
                <w:rFonts w:ascii="Compatil Fact LT Pro" w:hAnsi="Compatil Fact LT Pro" w:cs="Arial"/>
                <w:b/>
                <w:bCs/>
                <w:color w:val="000000"/>
                <w:sz w:val="19"/>
                <w:szCs w:val="19"/>
                <w:lang w:eastAsia="en-AU"/>
              </w:rPr>
              <w:t>3</w:t>
            </w:r>
          </w:p>
        </w:tc>
        <w:tc>
          <w:tcPr>
            <w:tcW w:w="1985" w:type="dxa"/>
            <w:tcBorders>
              <w:top w:val="single" w:sz="8" w:space="0" w:color="auto"/>
              <w:bottom w:val="single" w:sz="8" w:space="0" w:color="auto"/>
            </w:tcBorders>
            <w:shd w:val="clear" w:color="auto" w:fill="D9D9D9" w:themeFill="background1" w:themeFillShade="D9"/>
            <w:vAlign w:val="center"/>
          </w:tcPr>
          <w:p w14:paraId="40B89FC3" w14:textId="6BB028F5"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98.</w:t>
            </w:r>
            <w:r w:rsidR="00E62F31">
              <w:rPr>
                <w:rFonts w:ascii="Compatil Fact LT Pro" w:hAnsi="Compatil Fact LT Pro" w:cs="Arial"/>
                <w:b/>
                <w:bCs/>
                <w:color w:val="000000"/>
                <w:sz w:val="19"/>
                <w:szCs w:val="19"/>
                <w:lang w:eastAsia="en-AU"/>
              </w:rPr>
              <w:t>1</w:t>
            </w:r>
          </w:p>
        </w:tc>
      </w:tr>
      <w:tr w:rsidR="006E46F0" w:rsidRPr="006E46F0" w14:paraId="2BBC983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242692F6"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equity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6E0BAE9" w14:textId="688DC53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12.</w:t>
            </w:r>
            <w:r w:rsidR="00E62F31">
              <w:rPr>
                <w:rFonts w:ascii="Compatil Fact LT Pro" w:eastAsia="Calibri" w:hAnsi="Compatil Fact LT Pro" w:cstheme="majorHAnsi"/>
                <w:color w:val="auto"/>
                <w:sz w:val="19"/>
                <w:szCs w:val="19"/>
                <w:lang w:val="en-AU"/>
              </w:rPr>
              <w:t>6</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66F6ACB" w14:textId="646D2DC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20.</w:t>
            </w:r>
            <w:r w:rsidR="00E62F31">
              <w:rPr>
                <w:rFonts w:ascii="Compatil Fact LT Pro" w:eastAsia="Calibri" w:hAnsi="Compatil Fact LT Pro" w:cstheme="majorHAnsi"/>
                <w:color w:val="auto"/>
                <w:sz w:val="19"/>
                <w:szCs w:val="19"/>
                <w:lang w:val="en-AU"/>
              </w:rPr>
              <w:t>3</w:t>
            </w:r>
          </w:p>
        </w:tc>
        <w:tc>
          <w:tcPr>
            <w:tcW w:w="1842" w:type="dxa"/>
            <w:tcBorders>
              <w:top w:val="single" w:sz="8" w:space="0" w:color="auto"/>
              <w:bottom w:val="single" w:sz="8" w:space="0" w:color="auto"/>
            </w:tcBorders>
            <w:vAlign w:val="center"/>
          </w:tcPr>
          <w:p w14:paraId="1B60A1D3" w14:textId="6B6BEC8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27.</w:t>
            </w:r>
            <w:r w:rsidR="00E62F31">
              <w:rPr>
                <w:rFonts w:ascii="Compatil Fact LT Pro" w:eastAsia="Calibri" w:hAnsi="Compatil Fact LT Pro" w:cstheme="majorHAnsi"/>
                <w:color w:val="auto"/>
                <w:sz w:val="19"/>
                <w:szCs w:val="19"/>
                <w:lang w:val="en-AU"/>
              </w:rPr>
              <w:t>1</w:t>
            </w:r>
          </w:p>
        </w:tc>
        <w:tc>
          <w:tcPr>
            <w:tcW w:w="1276" w:type="dxa"/>
            <w:tcBorders>
              <w:top w:val="single" w:sz="8" w:space="0" w:color="auto"/>
              <w:bottom w:val="single" w:sz="8" w:space="0" w:color="auto"/>
            </w:tcBorders>
            <w:vAlign w:val="center"/>
          </w:tcPr>
          <w:p w14:paraId="652CD858" w14:textId="356B42B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w:t>
            </w:r>
            <w:r w:rsidR="00E62F31">
              <w:rPr>
                <w:rFonts w:ascii="Compatil Fact LT Pro" w:eastAsia="Calibri" w:hAnsi="Compatil Fact LT Pro" w:cstheme="majorHAnsi"/>
                <w:color w:val="auto"/>
                <w:sz w:val="19"/>
                <w:szCs w:val="19"/>
                <w:lang w:val="en-AU"/>
              </w:rPr>
              <w:t>3.3</w:t>
            </w:r>
          </w:p>
        </w:tc>
        <w:tc>
          <w:tcPr>
            <w:tcW w:w="1985" w:type="dxa"/>
            <w:tcBorders>
              <w:top w:val="single" w:sz="8" w:space="0" w:color="auto"/>
              <w:bottom w:val="single" w:sz="8" w:space="0" w:color="auto"/>
            </w:tcBorders>
            <w:vAlign w:val="center"/>
          </w:tcPr>
          <w:p w14:paraId="047486C2" w14:textId="2015857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w:t>
            </w:r>
            <w:r w:rsidR="00E62F31">
              <w:rPr>
                <w:rFonts w:ascii="Compatil Fact LT Pro" w:eastAsia="Calibri" w:hAnsi="Compatil Fact LT Pro" w:cstheme="majorHAnsi"/>
                <w:color w:val="auto"/>
                <w:sz w:val="19"/>
                <w:szCs w:val="19"/>
                <w:lang w:val="en-AU"/>
              </w:rPr>
              <w:t>0.2</w:t>
            </w:r>
          </w:p>
        </w:tc>
      </w:tr>
      <w:tr w:rsidR="006E46F0" w:rsidRPr="006E46F0" w14:paraId="1F449B51"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7D272A06"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equity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6284180C" w14:textId="2B68158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6.2</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009B658C" w14:textId="6432291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6.5</w:t>
            </w:r>
          </w:p>
        </w:tc>
        <w:tc>
          <w:tcPr>
            <w:tcW w:w="1842" w:type="dxa"/>
            <w:tcBorders>
              <w:top w:val="single" w:sz="8" w:space="0" w:color="auto"/>
              <w:bottom w:val="single" w:sz="8" w:space="0" w:color="auto"/>
            </w:tcBorders>
            <w:vAlign w:val="center"/>
          </w:tcPr>
          <w:p w14:paraId="64934F86" w14:textId="33D2AAA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w:t>
            </w:r>
            <w:r w:rsidR="00E62F31">
              <w:rPr>
                <w:rFonts w:ascii="Compatil Fact LT Pro" w:eastAsia="Calibri" w:hAnsi="Compatil Fact LT Pro" w:cstheme="majorHAnsi"/>
                <w:color w:val="auto"/>
                <w:sz w:val="19"/>
                <w:szCs w:val="19"/>
                <w:lang w:val="en-AU"/>
              </w:rPr>
              <w:t>4.5</w:t>
            </w:r>
          </w:p>
        </w:tc>
        <w:tc>
          <w:tcPr>
            <w:tcW w:w="1276" w:type="dxa"/>
            <w:tcBorders>
              <w:top w:val="single" w:sz="8" w:space="0" w:color="auto"/>
              <w:bottom w:val="single" w:sz="8" w:space="0" w:color="auto"/>
            </w:tcBorders>
            <w:vAlign w:val="center"/>
          </w:tcPr>
          <w:p w14:paraId="025EB335" w14:textId="1D9C9C7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w:t>
            </w:r>
            <w:r w:rsidR="00E62F31">
              <w:rPr>
                <w:rFonts w:ascii="Compatil Fact LT Pro" w:eastAsia="Calibri" w:hAnsi="Compatil Fact LT Pro" w:cstheme="majorHAnsi"/>
                <w:color w:val="auto"/>
                <w:sz w:val="19"/>
                <w:szCs w:val="19"/>
                <w:lang w:val="en-AU"/>
              </w:rPr>
              <w:t>4.3</w:t>
            </w:r>
          </w:p>
        </w:tc>
        <w:tc>
          <w:tcPr>
            <w:tcW w:w="1985" w:type="dxa"/>
            <w:tcBorders>
              <w:top w:val="single" w:sz="8" w:space="0" w:color="auto"/>
              <w:bottom w:val="single" w:sz="8" w:space="0" w:color="auto"/>
            </w:tcBorders>
            <w:vAlign w:val="center"/>
          </w:tcPr>
          <w:p w14:paraId="060DA9EF" w14:textId="7492590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w:t>
            </w:r>
            <w:r w:rsidR="00E62F31">
              <w:rPr>
                <w:rFonts w:ascii="Compatil Fact LT Pro" w:eastAsia="Calibri" w:hAnsi="Compatil Fact LT Pro" w:cstheme="majorHAnsi"/>
                <w:color w:val="auto"/>
                <w:sz w:val="19"/>
                <w:szCs w:val="19"/>
                <w:lang w:val="en-AU"/>
              </w:rPr>
              <w:t>9.4</w:t>
            </w:r>
          </w:p>
        </w:tc>
      </w:tr>
      <w:tr w:rsidR="006E46F0" w:rsidRPr="006E46F0" w14:paraId="49EFFEA7"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260745AC"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property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008A9C3" w14:textId="554EF282"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0.7</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7653BE2" w14:textId="14545DE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0.8</w:t>
            </w:r>
          </w:p>
        </w:tc>
        <w:tc>
          <w:tcPr>
            <w:tcW w:w="1842" w:type="dxa"/>
            <w:tcBorders>
              <w:top w:val="single" w:sz="8" w:space="0" w:color="auto"/>
              <w:bottom w:val="single" w:sz="8" w:space="0" w:color="auto"/>
            </w:tcBorders>
            <w:vAlign w:val="center"/>
          </w:tcPr>
          <w:p w14:paraId="31B74716" w14:textId="51FBE15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w:t>
            </w:r>
            <w:r w:rsidR="00E62F31">
              <w:rPr>
                <w:rFonts w:ascii="Compatil Fact LT Pro" w:eastAsia="Calibri" w:hAnsi="Compatil Fact LT Pro" w:cstheme="majorHAnsi"/>
                <w:color w:val="auto"/>
                <w:sz w:val="19"/>
                <w:szCs w:val="19"/>
                <w:lang w:val="en-AU"/>
              </w:rPr>
              <w:t>8</w:t>
            </w:r>
          </w:p>
        </w:tc>
        <w:tc>
          <w:tcPr>
            <w:tcW w:w="1276" w:type="dxa"/>
            <w:tcBorders>
              <w:top w:val="single" w:sz="8" w:space="0" w:color="auto"/>
              <w:bottom w:val="single" w:sz="8" w:space="0" w:color="auto"/>
            </w:tcBorders>
            <w:vAlign w:val="center"/>
          </w:tcPr>
          <w:p w14:paraId="5F2EF361" w14:textId="0FD6D6B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1.4</w:t>
            </w:r>
          </w:p>
        </w:tc>
        <w:tc>
          <w:tcPr>
            <w:tcW w:w="1985" w:type="dxa"/>
            <w:tcBorders>
              <w:top w:val="single" w:sz="8" w:space="0" w:color="auto"/>
              <w:bottom w:val="single" w:sz="8" w:space="0" w:color="auto"/>
            </w:tcBorders>
            <w:vAlign w:val="center"/>
          </w:tcPr>
          <w:p w14:paraId="273BA8A8" w14:textId="3AD8BA23" w:rsidR="006E46F0" w:rsidRPr="006E46F0" w:rsidRDefault="00E62F31" w:rsidP="006E46F0">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1.5</w:t>
            </w:r>
          </w:p>
        </w:tc>
      </w:tr>
      <w:tr w:rsidR="006E46F0" w:rsidRPr="006E46F0" w14:paraId="759D6DEC"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17093A24"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property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58083904" w14:textId="3FFD45A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E80224C" w14:textId="0619EB7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9</w:t>
            </w:r>
          </w:p>
        </w:tc>
        <w:tc>
          <w:tcPr>
            <w:tcW w:w="1842" w:type="dxa"/>
            <w:tcBorders>
              <w:top w:val="single" w:sz="8" w:space="0" w:color="auto"/>
              <w:bottom w:val="single" w:sz="8" w:space="0" w:color="auto"/>
            </w:tcBorders>
            <w:vAlign w:val="center"/>
          </w:tcPr>
          <w:p w14:paraId="24B0A144" w14:textId="27793C1E" w:rsidR="006E46F0" w:rsidRPr="006E46F0" w:rsidRDefault="00E62F31" w:rsidP="006E46F0">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4.0</w:t>
            </w:r>
          </w:p>
        </w:tc>
        <w:tc>
          <w:tcPr>
            <w:tcW w:w="1276" w:type="dxa"/>
            <w:tcBorders>
              <w:top w:val="single" w:sz="8" w:space="0" w:color="auto"/>
              <w:bottom w:val="single" w:sz="8" w:space="0" w:color="auto"/>
            </w:tcBorders>
            <w:vAlign w:val="center"/>
          </w:tcPr>
          <w:p w14:paraId="27277782" w14:textId="55D060BD"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w:t>
            </w:r>
            <w:r w:rsidR="00E62F31">
              <w:rPr>
                <w:rFonts w:ascii="Compatil Fact LT Pro" w:eastAsia="Calibri" w:hAnsi="Compatil Fact LT Pro" w:cstheme="majorHAnsi"/>
                <w:color w:val="auto"/>
                <w:sz w:val="19"/>
                <w:szCs w:val="19"/>
                <w:lang w:val="en-AU"/>
              </w:rPr>
              <w:t>3</w:t>
            </w:r>
          </w:p>
        </w:tc>
        <w:tc>
          <w:tcPr>
            <w:tcW w:w="1985" w:type="dxa"/>
            <w:tcBorders>
              <w:top w:val="single" w:sz="8" w:space="0" w:color="auto"/>
              <w:bottom w:val="single" w:sz="8" w:space="0" w:color="auto"/>
            </w:tcBorders>
            <w:vAlign w:val="center"/>
          </w:tcPr>
          <w:p w14:paraId="30208CD8" w14:textId="6B782E9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2.8</w:t>
            </w:r>
          </w:p>
        </w:tc>
      </w:tr>
      <w:tr w:rsidR="006E46F0" w:rsidRPr="006E46F0" w14:paraId="3123E7A8"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338EDB5D"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Infrastructure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A825688" w14:textId="1A3C126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1.5</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53E476B" w14:textId="5394F29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4</w:t>
            </w:r>
          </w:p>
        </w:tc>
        <w:tc>
          <w:tcPr>
            <w:tcW w:w="1842" w:type="dxa"/>
            <w:tcBorders>
              <w:top w:val="single" w:sz="8" w:space="0" w:color="auto"/>
              <w:bottom w:val="single" w:sz="8" w:space="0" w:color="auto"/>
            </w:tcBorders>
            <w:vAlign w:val="center"/>
          </w:tcPr>
          <w:p w14:paraId="0146AD90" w14:textId="42594E0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3</w:t>
            </w:r>
          </w:p>
        </w:tc>
        <w:tc>
          <w:tcPr>
            <w:tcW w:w="1276" w:type="dxa"/>
            <w:tcBorders>
              <w:top w:val="single" w:sz="8" w:space="0" w:color="auto"/>
              <w:bottom w:val="single" w:sz="8" w:space="0" w:color="auto"/>
            </w:tcBorders>
            <w:vAlign w:val="center"/>
          </w:tcPr>
          <w:p w14:paraId="0F7D310D" w14:textId="71626AC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7</w:t>
            </w:r>
          </w:p>
        </w:tc>
        <w:tc>
          <w:tcPr>
            <w:tcW w:w="1985" w:type="dxa"/>
            <w:tcBorders>
              <w:top w:val="single" w:sz="8" w:space="0" w:color="auto"/>
              <w:bottom w:val="single" w:sz="8" w:space="0" w:color="auto"/>
            </w:tcBorders>
            <w:vAlign w:val="center"/>
          </w:tcPr>
          <w:p w14:paraId="50CF7AFE" w14:textId="19FD8F9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w:t>
            </w:r>
            <w:r w:rsidR="00E62F31">
              <w:rPr>
                <w:rFonts w:ascii="Compatil Fact LT Pro" w:eastAsia="Calibri" w:hAnsi="Compatil Fact LT Pro" w:cstheme="majorHAnsi"/>
                <w:color w:val="auto"/>
                <w:sz w:val="19"/>
                <w:szCs w:val="19"/>
                <w:lang w:val="en-AU"/>
              </w:rPr>
              <w:t>2</w:t>
            </w:r>
          </w:p>
        </w:tc>
      </w:tr>
      <w:tr w:rsidR="006E46F0" w:rsidRPr="006E46F0" w14:paraId="6A0E70A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97AF6F7"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Growth alternatives</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D6140E5" w14:textId="77A8126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7033887" w14:textId="32F4052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842" w:type="dxa"/>
            <w:tcBorders>
              <w:top w:val="single" w:sz="8" w:space="0" w:color="auto"/>
              <w:bottom w:val="single" w:sz="8" w:space="0" w:color="auto"/>
            </w:tcBorders>
            <w:vAlign w:val="center"/>
          </w:tcPr>
          <w:p w14:paraId="019C7ABF" w14:textId="0839B3F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vAlign w:val="center"/>
          </w:tcPr>
          <w:p w14:paraId="6B1DB3D9" w14:textId="03762DA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985" w:type="dxa"/>
            <w:tcBorders>
              <w:top w:val="single" w:sz="8" w:space="0" w:color="auto"/>
              <w:bottom w:val="single" w:sz="8" w:space="0" w:color="auto"/>
            </w:tcBorders>
            <w:vAlign w:val="center"/>
          </w:tcPr>
          <w:p w14:paraId="6D896A17" w14:textId="472CEBD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B0BACC2"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703A6F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Extended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228D001" w14:textId="0265468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8</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2C0AFC0" w14:textId="55BBEA7D" w:rsidR="006E46F0" w:rsidRPr="006E46F0" w:rsidRDefault="00E62F31" w:rsidP="006E46F0">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2.1</w:t>
            </w:r>
          </w:p>
        </w:tc>
        <w:tc>
          <w:tcPr>
            <w:tcW w:w="1842" w:type="dxa"/>
            <w:tcBorders>
              <w:top w:val="single" w:sz="8" w:space="0" w:color="auto"/>
              <w:bottom w:val="single" w:sz="8" w:space="0" w:color="auto"/>
            </w:tcBorders>
            <w:vAlign w:val="center"/>
          </w:tcPr>
          <w:p w14:paraId="5523161E" w14:textId="1309770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4</w:t>
            </w:r>
          </w:p>
        </w:tc>
        <w:tc>
          <w:tcPr>
            <w:tcW w:w="1276" w:type="dxa"/>
            <w:tcBorders>
              <w:top w:val="single" w:sz="8" w:space="0" w:color="auto"/>
              <w:bottom w:val="single" w:sz="8" w:space="0" w:color="auto"/>
            </w:tcBorders>
            <w:vAlign w:val="center"/>
          </w:tcPr>
          <w:p w14:paraId="3E144DAC" w14:textId="07DD27A3"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4</w:t>
            </w:r>
          </w:p>
        </w:tc>
        <w:tc>
          <w:tcPr>
            <w:tcW w:w="1985" w:type="dxa"/>
            <w:tcBorders>
              <w:top w:val="single" w:sz="8" w:space="0" w:color="auto"/>
              <w:bottom w:val="single" w:sz="8" w:space="0" w:color="auto"/>
            </w:tcBorders>
            <w:vAlign w:val="center"/>
          </w:tcPr>
          <w:p w14:paraId="2BF491FB" w14:textId="0B6AF9E5"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6E1FE446" w14:textId="77777777" w:rsidTr="006E46F0">
        <w:trPr>
          <w:trHeight w:val="574"/>
        </w:trPr>
        <w:tc>
          <w:tcPr>
            <w:tcW w:w="1985"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49EF5E5A" w14:textId="77777777" w:rsidR="006E46F0" w:rsidRPr="00143C2F" w:rsidRDefault="006E46F0" w:rsidP="006E46F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DEFENSIVE ASSETS</w:t>
            </w:r>
          </w:p>
        </w:tc>
        <w:tc>
          <w:tcPr>
            <w:tcW w:w="1701"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7F036E4B" w14:textId="3F5D2320"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6</w:t>
            </w:r>
            <w:r w:rsidR="00E62F31">
              <w:rPr>
                <w:rFonts w:ascii="Compatil Fact LT Pro" w:hAnsi="Compatil Fact LT Pro" w:cs="Arial"/>
                <w:b/>
                <w:bCs/>
                <w:color w:val="000000"/>
                <w:sz w:val="19"/>
                <w:szCs w:val="19"/>
                <w:lang w:eastAsia="en-AU"/>
              </w:rPr>
              <w:t>4</w:t>
            </w:r>
            <w:r w:rsidRPr="006E46F0">
              <w:rPr>
                <w:rFonts w:ascii="Compatil Fact LT Pro" w:hAnsi="Compatil Fact LT Pro" w:cs="Arial"/>
                <w:b/>
                <w:bCs/>
                <w:color w:val="000000"/>
                <w:sz w:val="19"/>
                <w:szCs w:val="19"/>
                <w:lang w:eastAsia="en-AU"/>
              </w:rPr>
              <w:t>.</w:t>
            </w:r>
            <w:r w:rsidR="00E62F31">
              <w:rPr>
                <w:rFonts w:ascii="Compatil Fact LT Pro" w:hAnsi="Compatil Fact LT Pro" w:cs="Arial"/>
                <w:b/>
                <w:bCs/>
                <w:color w:val="000000"/>
                <w:sz w:val="19"/>
                <w:szCs w:val="19"/>
                <w:lang w:eastAsia="en-AU"/>
              </w:rPr>
              <w:t>5</w:t>
            </w:r>
          </w:p>
        </w:tc>
        <w:tc>
          <w:tcPr>
            <w:tcW w:w="1276"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vAlign w:val="center"/>
          </w:tcPr>
          <w:p w14:paraId="41AB3E03" w14:textId="4BB1B91D"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46.</w:t>
            </w:r>
            <w:r w:rsidR="00E62F31">
              <w:rPr>
                <w:rFonts w:ascii="Compatil Fact LT Pro" w:hAnsi="Compatil Fact LT Pro" w:cs="Arial"/>
                <w:b/>
                <w:bCs/>
                <w:color w:val="000000"/>
                <w:sz w:val="19"/>
                <w:szCs w:val="19"/>
                <w:lang w:eastAsia="en-AU"/>
              </w:rPr>
              <w:t>1</w:t>
            </w:r>
          </w:p>
        </w:tc>
        <w:tc>
          <w:tcPr>
            <w:tcW w:w="1842" w:type="dxa"/>
            <w:tcBorders>
              <w:top w:val="single" w:sz="8" w:space="0" w:color="auto"/>
              <w:bottom w:val="single" w:sz="8" w:space="0" w:color="auto"/>
            </w:tcBorders>
            <w:shd w:val="clear" w:color="auto" w:fill="D9D9D9" w:themeFill="background1" w:themeFillShade="D9"/>
            <w:vAlign w:val="center"/>
          </w:tcPr>
          <w:p w14:paraId="6176E236" w14:textId="23F69B90" w:rsidR="006E46F0" w:rsidRPr="006E46F0" w:rsidRDefault="00E62F31" w:rsidP="006E46F0">
            <w:pPr>
              <w:spacing w:after="160" w:line="276" w:lineRule="auto"/>
              <w:ind w:right="0"/>
              <w:jc w:val="center"/>
              <w:rPr>
                <w:rFonts w:ascii="Compatil Fact LT Pro" w:hAnsi="Compatil Fact LT Pro" w:cs="Arial"/>
                <w:b/>
                <w:bCs/>
                <w:color w:val="000000"/>
                <w:sz w:val="19"/>
                <w:szCs w:val="19"/>
                <w:lang w:eastAsia="en-AU"/>
              </w:rPr>
            </w:pPr>
            <w:r>
              <w:rPr>
                <w:rFonts w:ascii="Compatil Fact LT Pro" w:hAnsi="Compatil Fact LT Pro" w:cs="Arial"/>
                <w:b/>
                <w:bCs/>
                <w:color w:val="000000"/>
                <w:sz w:val="19"/>
                <w:szCs w:val="19"/>
                <w:lang w:eastAsia="en-AU"/>
              </w:rPr>
              <w:t>29.9</w:t>
            </w:r>
          </w:p>
        </w:tc>
        <w:tc>
          <w:tcPr>
            <w:tcW w:w="1276" w:type="dxa"/>
            <w:tcBorders>
              <w:top w:val="single" w:sz="8" w:space="0" w:color="auto"/>
              <w:bottom w:val="single" w:sz="8" w:space="0" w:color="auto"/>
            </w:tcBorders>
            <w:shd w:val="clear" w:color="auto" w:fill="D9D9D9" w:themeFill="background1" w:themeFillShade="D9"/>
            <w:vAlign w:val="center"/>
          </w:tcPr>
          <w:p w14:paraId="28D12BC1" w14:textId="3A1D93E7"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1</w:t>
            </w:r>
            <w:r w:rsidR="00E62F31">
              <w:rPr>
                <w:rFonts w:ascii="Compatil Fact LT Pro" w:hAnsi="Compatil Fact LT Pro" w:cs="Arial"/>
                <w:b/>
                <w:bCs/>
                <w:color w:val="000000"/>
                <w:sz w:val="19"/>
                <w:szCs w:val="19"/>
                <w:lang w:eastAsia="en-AU"/>
              </w:rPr>
              <w:t>3.7</w:t>
            </w:r>
          </w:p>
        </w:tc>
        <w:tc>
          <w:tcPr>
            <w:tcW w:w="1985" w:type="dxa"/>
            <w:tcBorders>
              <w:top w:val="single" w:sz="8" w:space="0" w:color="auto"/>
              <w:bottom w:val="single" w:sz="8" w:space="0" w:color="auto"/>
            </w:tcBorders>
            <w:shd w:val="clear" w:color="auto" w:fill="D9D9D9" w:themeFill="background1" w:themeFillShade="D9"/>
            <w:vAlign w:val="center"/>
          </w:tcPr>
          <w:p w14:paraId="7B88416F" w14:textId="5DB9508A"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1.</w:t>
            </w:r>
            <w:r w:rsidR="00E62F31">
              <w:rPr>
                <w:rFonts w:ascii="Compatil Fact LT Pro" w:hAnsi="Compatil Fact LT Pro" w:cs="Arial"/>
                <w:b/>
                <w:bCs/>
                <w:color w:val="000000"/>
                <w:sz w:val="19"/>
                <w:szCs w:val="19"/>
                <w:lang w:eastAsia="en-AU"/>
              </w:rPr>
              <w:t>9</w:t>
            </w:r>
          </w:p>
        </w:tc>
      </w:tr>
      <w:tr w:rsidR="006E46F0" w:rsidRPr="006E46F0" w14:paraId="3D5F025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58855441"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Loans &amp; absolute return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DFE2126" w14:textId="7AC71DF5"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94A78FB" w14:textId="64FC1AC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842" w:type="dxa"/>
            <w:tcBorders>
              <w:top w:val="single" w:sz="8" w:space="0" w:color="auto"/>
              <w:bottom w:val="single" w:sz="8" w:space="0" w:color="auto"/>
            </w:tcBorders>
            <w:vAlign w:val="center"/>
          </w:tcPr>
          <w:p w14:paraId="69102EA4" w14:textId="3A9CA93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vAlign w:val="center"/>
          </w:tcPr>
          <w:p w14:paraId="2CDA3447" w14:textId="5B1612A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985" w:type="dxa"/>
            <w:tcBorders>
              <w:top w:val="single" w:sz="8" w:space="0" w:color="auto"/>
              <w:bottom w:val="single" w:sz="8" w:space="0" w:color="auto"/>
            </w:tcBorders>
            <w:vAlign w:val="center"/>
          </w:tcPr>
          <w:p w14:paraId="4A145472" w14:textId="588F430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67507A06"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00E8901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fixed income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4EC2102" w14:textId="4FBE73E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w:t>
            </w:r>
            <w:r w:rsidR="00E62F31">
              <w:rPr>
                <w:rFonts w:ascii="Compatil Fact LT Pro" w:eastAsia="Calibri" w:hAnsi="Compatil Fact LT Pro" w:cstheme="majorHAnsi"/>
                <w:color w:val="auto"/>
                <w:sz w:val="19"/>
                <w:szCs w:val="19"/>
                <w:lang w:val="en-AU"/>
              </w:rPr>
              <w:t>5.8</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1BB5073" w14:textId="18695D2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7.8</w:t>
            </w:r>
          </w:p>
        </w:tc>
        <w:tc>
          <w:tcPr>
            <w:tcW w:w="1842" w:type="dxa"/>
            <w:tcBorders>
              <w:top w:val="single" w:sz="8" w:space="0" w:color="auto"/>
              <w:bottom w:val="single" w:sz="8" w:space="0" w:color="auto"/>
            </w:tcBorders>
            <w:vAlign w:val="center"/>
          </w:tcPr>
          <w:p w14:paraId="2A0A216C" w14:textId="1774399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0.9</w:t>
            </w:r>
          </w:p>
        </w:tc>
        <w:tc>
          <w:tcPr>
            <w:tcW w:w="1276" w:type="dxa"/>
            <w:tcBorders>
              <w:top w:val="single" w:sz="8" w:space="0" w:color="auto"/>
              <w:bottom w:val="single" w:sz="8" w:space="0" w:color="auto"/>
            </w:tcBorders>
            <w:vAlign w:val="center"/>
          </w:tcPr>
          <w:p w14:paraId="61B0F750" w14:textId="01A9DED9" w:rsidR="006E46F0" w:rsidRPr="006E46F0" w:rsidRDefault="00E62F31" w:rsidP="006E46F0">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5.8</w:t>
            </w:r>
          </w:p>
        </w:tc>
        <w:tc>
          <w:tcPr>
            <w:tcW w:w="1985" w:type="dxa"/>
            <w:tcBorders>
              <w:top w:val="single" w:sz="8" w:space="0" w:color="auto"/>
              <w:bottom w:val="single" w:sz="8" w:space="0" w:color="auto"/>
            </w:tcBorders>
            <w:vAlign w:val="center"/>
          </w:tcPr>
          <w:p w14:paraId="5D0C920D" w14:textId="65F6D6F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05D81999"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15662D8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fixed income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BED0C07" w14:textId="67148DA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20.</w:t>
            </w:r>
            <w:r w:rsidR="00E62F31">
              <w:rPr>
                <w:rFonts w:ascii="Compatil Fact LT Pro" w:eastAsia="Calibri" w:hAnsi="Compatil Fact LT Pro" w:cstheme="majorHAnsi"/>
                <w:color w:val="auto"/>
                <w:sz w:val="19"/>
                <w:szCs w:val="19"/>
                <w:lang w:val="en-AU"/>
              </w:rPr>
              <w:t>6</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1FF331AD" w14:textId="15C53B6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13.</w:t>
            </w:r>
            <w:r w:rsidR="00E62F31">
              <w:rPr>
                <w:rFonts w:ascii="Compatil Fact LT Pro" w:eastAsia="Calibri" w:hAnsi="Compatil Fact LT Pro" w:cstheme="majorHAnsi"/>
                <w:color w:val="auto"/>
                <w:sz w:val="19"/>
                <w:szCs w:val="19"/>
                <w:lang w:val="en-AU"/>
              </w:rPr>
              <w:t>4</w:t>
            </w:r>
          </w:p>
        </w:tc>
        <w:tc>
          <w:tcPr>
            <w:tcW w:w="1842" w:type="dxa"/>
            <w:tcBorders>
              <w:top w:val="single" w:sz="8" w:space="0" w:color="auto"/>
              <w:bottom w:val="single" w:sz="8" w:space="0" w:color="auto"/>
            </w:tcBorders>
            <w:vAlign w:val="center"/>
          </w:tcPr>
          <w:p w14:paraId="4FC5781D" w14:textId="0B7C8D8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9.</w:t>
            </w:r>
            <w:r w:rsidR="00E62F31">
              <w:rPr>
                <w:rFonts w:ascii="Compatil Fact LT Pro" w:eastAsia="Calibri" w:hAnsi="Compatil Fact LT Pro" w:cstheme="majorHAnsi"/>
                <w:color w:val="auto"/>
                <w:sz w:val="19"/>
                <w:szCs w:val="19"/>
                <w:lang w:val="en-AU"/>
              </w:rPr>
              <w:t>7</w:t>
            </w:r>
          </w:p>
        </w:tc>
        <w:tc>
          <w:tcPr>
            <w:tcW w:w="1276" w:type="dxa"/>
            <w:tcBorders>
              <w:top w:val="single" w:sz="8" w:space="0" w:color="auto"/>
              <w:bottom w:val="single" w:sz="8" w:space="0" w:color="auto"/>
            </w:tcBorders>
            <w:vAlign w:val="center"/>
          </w:tcPr>
          <w:p w14:paraId="659DC833" w14:textId="0BFB58C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w:t>
            </w:r>
            <w:r w:rsidR="00E62F31">
              <w:rPr>
                <w:rFonts w:ascii="Compatil Fact LT Pro" w:eastAsia="Calibri" w:hAnsi="Compatil Fact LT Pro" w:cstheme="majorHAnsi"/>
                <w:color w:val="auto"/>
                <w:sz w:val="19"/>
                <w:szCs w:val="19"/>
                <w:lang w:val="en-AU"/>
              </w:rPr>
              <w:t>1</w:t>
            </w:r>
          </w:p>
        </w:tc>
        <w:tc>
          <w:tcPr>
            <w:tcW w:w="1985" w:type="dxa"/>
            <w:tcBorders>
              <w:top w:val="single" w:sz="8" w:space="0" w:color="auto"/>
              <w:bottom w:val="single" w:sz="8" w:space="0" w:color="auto"/>
            </w:tcBorders>
            <w:vAlign w:val="center"/>
          </w:tcPr>
          <w:p w14:paraId="71163A4B" w14:textId="2452EECC"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3A4D3D7"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E5AC172"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Defensive alternatives</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ABC1B78" w14:textId="3C4D1D3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D767108" w14:textId="004526A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c>
          <w:tcPr>
            <w:tcW w:w="1842" w:type="dxa"/>
            <w:tcBorders>
              <w:top w:val="single" w:sz="8" w:space="0" w:color="auto"/>
              <w:bottom w:val="single" w:sz="8" w:space="0" w:color="auto"/>
            </w:tcBorders>
            <w:vAlign w:val="center"/>
          </w:tcPr>
          <w:p w14:paraId="73DB20B6" w14:textId="18938D1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8</w:t>
            </w:r>
          </w:p>
        </w:tc>
        <w:tc>
          <w:tcPr>
            <w:tcW w:w="1276" w:type="dxa"/>
            <w:tcBorders>
              <w:top w:val="single" w:sz="8" w:space="0" w:color="auto"/>
              <w:bottom w:val="single" w:sz="8" w:space="0" w:color="auto"/>
            </w:tcBorders>
            <w:vAlign w:val="center"/>
          </w:tcPr>
          <w:p w14:paraId="3882DA08" w14:textId="46B6A04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0.8</w:t>
            </w:r>
          </w:p>
        </w:tc>
        <w:tc>
          <w:tcPr>
            <w:tcW w:w="1985" w:type="dxa"/>
            <w:tcBorders>
              <w:top w:val="single" w:sz="8" w:space="0" w:color="auto"/>
              <w:bottom w:val="single" w:sz="8" w:space="0" w:color="auto"/>
            </w:tcBorders>
            <w:vAlign w:val="center"/>
          </w:tcPr>
          <w:p w14:paraId="0EF33EC0" w14:textId="7F55FE7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0ABA461"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555FAD54"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Short-term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528961A1" w14:textId="0E64740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9.7</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7B734FD3" w14:textId="0F6266EC"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8.9</w:t>
            </w:r>
          </w:p>
        </w:tc>
        <w:tc>
          <w:tcPr>
            <w:tcW w:w="1842" w:type="dxa"/>
            <w:tcBorders>
              <w:top w:val="single" w:sz="8" w:space="0" w:color="auto"/>
              <w:bottom w:val="single" w:sz="8" w:space="0" w:color="auto"/>
            </w:tcBorders>
            <w:vAlign w:val="center"/>
          </w:tcPr>
          <w:p w14:paraId="11CA58E7" w14:textId="24BC852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w:t>
            </w:r>
            <w:r w:rsidR="00E62F31">
              <w:rPr>
                <w:rFonts w:ascii="Compatil Fact LT Pro" w:eastAsia="Calibri" w:hAnsi="Compatil Fact LT Pro" w:cstheme="majorHAnsi"/>
                <w:color w:val="auto"/>
                <w:sz w:val="19"/>
                <w:szCs w:val="19"/>
                <w:lang w:val="en-AU"/>
              </w:rPr>
              <w:t>3</w:t>
            </w:r>
          </w:p>
        </w:tc>
        <w:tc>
          <w:tcPr>
            <w:tcW w:w="1276" w:type="dxa"/>
            <w:tcBorders>
              <w:top w:val="single" w:sz="8" w:space="0" w:color="auto"/>
              <w:bottom w:val="single" w:sz="8" w:space="0" w:color="auto"/>
            </w:tcBorders>
            <w:vAlign w:val="center"/>
          </w:tcPr>
          <w:p w14:paraId="1AC14427" w14:textId="4C07839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0.1</w:t>
            </w:r>
          </w:p>
        </w:tc>
        <w:tc>
          <w:tcPr>
            <w:tcW w:w="1985" w:type="dxa"/>
            <w:tcBorders>
              <w:top w:val="single" w:sz="8" w:space="0" w:color="auto"/>
              <w:bottom w:val="single" w:sz="8" w:space="0" w:color="auto"/>
            </w:tcBorders>
            <w:vAlign w:val="center"/>
          </w:tcPr>
          <w:p w14:paraId="0360426C" w14:textId="5F40ED7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02EAE1BE"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3CDF953"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 xml:space="preserve">Cash </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4FE2C80F" w14:textId="20C0414D"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5.4</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A21B84C" w14:textId="3476C21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4.2</w:t>
            </w:r>
          </w:p>
        </w:tc>
        <w:tc>
          <w:tcPr>
            <w:tcW w:w="1842" w:type="dxa"/>
            <w:tcBorders>
              <w:top w:val="single" w:sz="8" w:space="0" w:color="auto"/>
              <w:bottom w:val="single" w:sz="8" w:space="0" w:color="auto"/>
            </w:tcBorders>
            <w:vAlign w:val="center"/>
          </w:tcPr>
          <w:p w14:paraId="0AA81514" w14:textId="7B3875D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4.2</w:t>
            </w:r>
          </w:p>
        </w:tc>
        <w:tc>
          <w:tcPr>
            <w:tcW w:w="1276" w:type="dxa"/>
            <w:tcBorders>
              <w:top w:val="single" w:sz="8" w:space="0" w:color="auto"/>
              <w:bottom w:val="single" w:sz="8" w:space="0" w:color="auto"/>
            </w:tcBorders>
            <w:vAlign w:val="center"/>
          </w:tcPr>
          <w:p w14:paraId="6D3D4F18" w14:textId="165AF962"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2.8</w:t>
            </w:r>
          </w:p>
        </w:tc>
        <w:tc>
          <w:tcPr>
            <w:tcW w:w="1985" w:type="dxa"/>
            <w:tcBorders>
              <w:top w:val="single" w:sz="8" w:space="0" w:color="auto"/>
              <w:bottom w:val="single" w:sz="8" w:space="0" w:color="auto"/>
            </w:tcBorders>
            <w:vAlign w:val="center"/>
          </w:tcPr>
          <w:p w14:paraId="641039B6" w14:textId="073C1A2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w:t>
            </w:r>
            <w:r w:rsidR="00E62F31">
              <w:rPr>
                <w:rFonts w:ascii="Compatil Fact LT Pro" w:eastAsia="Calibri" w:hAnsi="Compatil Fact LT Pro" w:cstheme="majorHAnsi"/>
                <w:color w:val="auto"/>
                <w:sz w:val="19"/>
                <w:szCs w:val="19"/>
                <w:lang w:val="en-AU"/>
              </w:rPr>
              <w:t>9</w:t>
            </w:r>
          </w:p>
        </w:tc>
      </w:tr>
    </w:tbl>
    <w:p w14:paraId="045A37BB" w14:textId="77777777" w:rsidR="008674B7" w:rsidRPr="0072036F" w:rsidRDefault="008674B7" w:rsidP="00F012E3">
      <w:pPr>
        <w:spacing w:after="160" w:line="276" w:lineRule="auto"/>
        <w:ind w:right="0"/>
        <w:rPr>
          <w:rFonts w:ascii="Compatil Fact LT Pro" w:eastAsia="Calibri" w:hAnsi="Compatil Fact LT Pro" w:cstheme="majorHAnsi"/>
          <w:color w:val="auto"/>
          <w:sz w:val="21"/>
          <w:szCs w:val="21"/>
          <w:lang w:val="en-AU"/>
        </w:rPr>
      </w:pPr>
    </w:p>
    <w:p w14:paraId="09B617ED" w14:textId="77777777" w:rsidR="00627E56" w:rsidRPr="00A052F4" w:rsidRDefault="00627E56"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t>Effective date</w:t>
      </w:r>
    </w:p>
    <w:p w14:paraId="29C08EFB" w14:textId="1ED2091B" w:rsidR="00627E56" w:rsidRDefault="00627E56" w:rsidP="00627E56">
      <w:pPr>
        <w:spacing w:after="160" w:line="276" w:lineRule="auto"/>
        <w:ind w:right="0"/>
        <w:rPr>
          <w:rFonts w:ascii="Compatil Fact LT Pro" w:eastAsia="Calibri" w:hAnsi="Compatil Fact LT Pro" w:cstheme="majorHAnsi"/>
          <w:color w:val="auto"/>
          <w:sz w:val="21"/>
          <w:szCs w:val="21"/>
          <w:lang w:val="en-AU"/>
        </w:rPr>
      </w:pPr>
      <w:r w:rsidRPr="00A11282">
        <w:rPr>
          <w:rFonts w:ascii="Compatil Fact LT Pro" w:eastAsia="Calibri" w:hAnsi="Compatil Fact LT Pro" w:cstheme="majorHAnsi"/>
          <w:color w:val="auto"/>
          <w:sz w:val="21"/>
          <w:szCs w:val="21"/>
          <w:lang w:val="en-AU"/>
        </w:rPr>
        <w:t>These changes were complete</w:t>
      </w:r>
      <w:r w:rsidR="00E62F31">
        <w:rPr>
          <w:rFonts w:ascii="Compatil Fact LT Pro" w:eastAsia="Calibri" w:hAnsi="Compatil Fact LT Pro" w:cstheme="majorHAnsi"/>
          <w:color w:val="auto"/>
          <w:sz w:val="21"/>
          <w:szCs w:val="21"/>
          <w:lang w:val="en-AU"/>
        </w:rPr>
        <w:t xml:space="preserve">d on </w:t>
      </w:r>
      <w:r w:rsidR="00E62F31" w:rsidRPr="00E62F31">
        <w:rPr>
          <w:rFonts w:ascii="Compatil Fact LT Pro" w:eastAsia="Calibri" w:hAnsi="Compatil Fact LT Pro" w:cstheme="majorHAnsi"/>
          <w:b/>
          <w:bCs/>
          <w:color w:val="auto"/>
          <w:sz w:val="21"/>
          <w:szCs w:val="21"/>
          <w:lang w:val="en-AU"/>
        </w:rPr>
        <w:t>11 &amp;</w:t>
      </w:r>
      <w:r w:rsidR="003B4523">
        <w:rPr>
          <w:rFonts w:ascii="Compatil Fact LT Pro" w:eastAsia="Calibri" w:hAnsi="Compatil Fact LT Pro" w:cstheme="majorHAnsi"/>
          <w:color w:val="auto"/>
          <w:sz w:val="21"/>
          <w:szCs w:val="21"/>
          <w:lang w:val="en-AU"/>
        </w:rPr>
        <w:t xml:space="preserve"> </w:t>
      </w:r>
      <w:r w:rsidR="00317995">
        <w:rPr>
          <w:rFonts w:ascii="Compatil Fact LT Pro" w:eastAsia="Calibri" w:hAnsi="Compatil Fact LT Pro" w:cstheme="majorHAnsi"/>
          <w:b/>
          <w:bCs/>
          <w:color w:val="auto"/>
          <w:sz w:val="21"/>
          <w:szCs w:val="21"/>
          <w:lang w:val="en-AU"/>
        </w:rPr>
        <w:t>18</w:t>
      </w:r>
      <w:r w:rsidR="003B4523">
        <w:rPr>
          <w:rFonts w:ascii="Compatil Fact LT Pro" w:eastAsia="Calibri" w:hAnsi="Compatil Fact LT Pro" w:cstheme="majorHAnsi"/>
          <w:b/>
          <w:bCs/>
          <w:color w:val="auto"/>
          <w:sz w:val="21"/>
          <w:szCs w:val="21"/>
          <w:lang w:val="en-AU"/>
        </w:rPr>
        <w:t xml:space="preserve"> </w:t>
      </w:r>
      <w:r w:rsidR="00317995">
        <w:rPr>
          <w:rFonts w:ascii="Compatil Fact LT Pro" w:eastAsia="Calibri" w:hAnsi="Compatil Fact LT Pro" w:cstheme="majorHAnsi"/>
          <w:b/>
          <w:bCs/>
          <w:color w:val="auto"/>
          <w:sz w:val="21"/>
          <w:szCs w:val="21"/>
          <w:lang w:val="en-AU"/>
        </w:rPr>
        <w:t xml:space="preserve">December </w:t>
      </w:r>
      <w:r w:rsidR="002B2C75">
        <w:rPr>
          <w:rFonts w:ascii="Compatil Fact LT Pro" w:eastAsia="Calibri" w:hAnsi="Compatil Fact LT Pro" w:cstheme="majorHAnsi"/>
          <w:b/>
          <w:bCs/>
          <w:color w:val="auto"/>
          <w:sz w:val="21"/>
          <w:szCs w:val="21"/>
          <w:lang w:val="en-AU"/>
        </w:rPr>
        <w:t>2025</w:t>
      </w:r>
      <w:r w:rsidR="00E62F31">
        <w:rPr>
          <w:rFonts w:ascii="Compatil Fact LT Pro" w:eastAsia="Calibri" w:hAnsi="Compatil Fact LT Pro" w:cstheme="majorHAnsi"/>
          <w:b/>
          <w:bCs/>
          <w:color w:val="auto"/>
          <w:sz w:val="21"/>
          <w:szCs w:val="21"/>
          <w:lang w:val="en-AU"/>
        </w:rPr>
        <w:t xml:space="preserve"> </w:t>
      </w:r>
      <w:r w:rsidR="00E62F31">
        <w:rPr>
          <w:rFonts w:ascii="Compatil Fact LT Pro" w:eastAsia="Calibri" w:hAnsi="Compatil Fact LT Pro" w:cstheme="majorHAnsi"/>
          <w:color w:val="auto"/>
          <w:sz w:val="21"/>
          <w:szCs w:val="21"/>
          <w:lang w:val="en-AU"/>
        </w:rPr>
        <w:t>for the low carbon switch and the RWC removal, respectively</w:t>
      </w:r>
      <w:r w:rsidRPr="006C705B">
        <w:rPr>
          <w:rFonts w:ascii="Compatil Fact LT Pro" w:eastAsia="Calibri" w:hAnsi="Compatil Fact LT Pro" w:cstheme="majorHAnsi"/>
          <w:color w:val="auto"/>
          <w:sz w:val="21"/>
          <w:szCs w:val="21"/>
          <w:lang w:val="en-AU"/>
        </w:rPr>
        <w:t>.</w:t>
      </w:r>
    </w:p>
    <w:p w14:paraId="19A7A4AE" w14:textId="77777777" w:rsidR="000E0F2D" w:rsidRDefault="000E0F2D" w:rsidP="00627E56">
      <w:pPr>
        <w:spacing w:after="160" w:line="276" w:lineRule="auto"/>
        <w:ind w:right="0"/>
        <w:rPr>
          <w:rFonts w:ascii="Compatil Fact LT Pro" w:eastAsia="Calibri" w:hAnsi="Compatil Fact LT Pro" w:cstheme="majorHAnsi"/>
          <w:color w:val="auto"/>
          <w:sz w:val="21"/>
          <w:szCs w:val="21"/>
          <w:lang w:val="en-AU"/>
        </w:rPr>
      </w:pPr>
    </w:p>
    <w:bookmarkEnd w:id="1"/>
    <w:p w14:paraId="13668DEF" w14:textId="77777777" w:rsidR="000E0F2D" w:rsidRDefault="000E0F2D" w:rsidP="00F012E3">
      <w:pPr>
        <w:pStyle w:val="Bodycopy"/>
        <w:rPr>
          <w:rFonts w:ascii="Compatil Fact LT Pro" w:hAnsi="Compatil Fact LT Pro" w:cstheme="majorHAnsi"/>
          <w:b/>
          <w:bCs/>
          <w:color w:val="005596"/>
          <w:sz w:val="20"/>
          <w:szCs w:val="20"/>
        </w:rPr>
      </w:pPr>
    </w:p>
    <w:p w14:paraId="55A2F0FC" w14:textId="77777777" w:rsidR="000E0F2D" w:rsidRDefault="000E0F2D" w:rsidP="00F012E3">
      <w:pPr>
        <w:pStyle w:val="Bodycopy"/>
        <w:rPr>
          <w:rFonts w:ascii="Compatil Fact LT Pro" w:hAnsi="Compatil Fact LT Pro" w:cstheme="majorHAnsi"/>
          <w:b/>
          <w:bCs/>
          <w:color w:val="005596"/>
          <w:sz w:val="20"/>
          <w:szCs w:val="20"/>
        </w:rPr>
      </w:pPr>
    </w:p>
    <w:p w14:paraId="1BB6B4ED" w14:textId="77777777" w:rsidR="000E0F2D" w:rsidRDefault="000E0F2D" w:rsidP="00F012E3">
      <w:pPr>
        <w:pStyle w:val="Bodycopy"/>
        <w:rPr>
          <w:rFonts w:ascii="Compatil Fact LT Pro" w:hAnsi="Compatil Fact LT Pro" w:cstheme="majorHAnsi"/>
          <w:b/>
          <w:bCs/>
          <w:color w:val="005596"/>
          <w:sz w:val="20"/>
          <w:szCs w:val="20"/>
        </w:rPr>
      </w:pPr>
    </w:p>
    <w:p w14:paraId="4FD87E9D" w14:textId="77777777" w:rsidR="006E46F0" w:rsidRDefault="006E46F0" w:rsidP="00F012E3">
      <w:pPr>
        <w:pStyle w:val="Bodycopy"/>
        <w:rPr>
          <w:rFonts w:ascii="Compatil Fact LT Pro" w:hAnsi="Compatil Fact LT Pro" w:cstheme="majorHAnsi"/>
          <w:b/>
          <w:bCs/>
          <w:color w:val="005596"/>
          <w:sz w:val="20"/>
          <w:szCs w:val="20"/>
        </w:rPr>
      </w:pPr>
    </w:p>
    <w:p w14:paraId="5A042408" w14:textId="77777777" w:rsidR="000E0F2D" w:rsidRDefault="000E0F2D" w:rsidP="00F012E3">
      <w:pPr>
        <w:pStyle w:val="Bodycopy"/>
        <w:rPr>
          <w:rFonts w:ascii="Compatil Fact LT Pro" w:hAnsi="Compatil Fact LT Pro" w:cstheme="majorHAnsi"/>
          <w:b/>
          <w:bCs/>
          <w:color w:val="005596"/>
          <w:sz w:val="20"/>
          <w:szCs w:val="20"/>
        </w:rPr>
      </w:pPr>
    </w:p>
    <w:p w14:paraId="20D3E38A" w14:textId="77777777" w:rsidR="000E0F2D" w:rsidRDefault="000E0F2D" w:rsidP="00F012E3">
      <w:pPr>
        <w:pStyle w:val="Bodycopy"/>
        <w:rPr>
          <w:rFonts w:ascii="Compatil Fact LT Pro" w:hAnsi="Compatil Fact LT Pro" w:cstheme="majorHAnsi"/>
          <w:b/>
          <w:bCs/>
          <w:color w:val="005596"/>
          <w:sz w:val="20"/>
          <w:szCs w:val="20"/>
        </w:rPr>
      </w:pPr>
    </w:p>
    <w:p w14:paraId="7DA71E71" w14:textId="77777777" w:rsidR="000E0F2D" w:rsidRDefault="000E0F2D" w:rsidP="00F012E3">
      <w:pPr>
        <w:pStyle w:val="Bodycopy"/>
        <w:rPr>
          <w:rFonts w:ascii="Compatil Fact LT Pro" w:hAnsi="Compatil Fact LT Pro" w:cstheme="majorHAnsi"/>
          <w:b/>
          <w:bCs/>
          <w:color w:val="005596"/>
          <w:sz w:val="20"/>
          <w:szCs w:val="20"/>
        </w:rPr>
      </w:pPr>
    </w:p>
    <w:p w14:paraId="15049513" w14:textId="77777777" w:rsidR="00DD16AE" w:rsidRDefault="00DD16AE" w:rsidP="00F012E3">
      <w:pPr>
        <w:pStyle w:val="Bodycopy"/>
        <w:rPr>
          <w:rFonts w:ascii="Compatil Fact LT Pro" w:hAnsi="Compatil Fact LT Pro" w:cstheme="majorHAnsi"/>
          <w:b/>
          <w:bCs/>
          <w:color w:val="005596"/>
          <w:sz w:val="20"/>
          <w:szCs w:val="20"/>
        </w:rPr>
      </w:pPr>
    </w:p>
    <w:p w14:paraId="4D2BA803" w14:textId="77777777" w:rsidR="00DD16AE" w:rsidRDefault="00DD16AE" w:rsidP="00F012E3">
      <w:pPr>
        <w:pStyle w:val="Bodycopy"/>
        <w:rPr>
          <w:rFonts w:ascii="Compatil Fact LT Pro" w:hAnsi="Compatil Fact LT Pro" w:cstheme="majorHAnsi"/>
          <w:b/>
          <w:bCs/>
          <w:color w:val="005596"/>
          <w:sz w:val="20"/>
          <w:szCs w:val="20"/>
        </w:rPr>
      </w:pPr>
    </w:p>
    <w:p w14:paraId="133CF8E5" w14:textId="77777777" w:rsidR="00DD16AE" w:rsidRDefault="00DD16AE" w:rsidP="00F012E3">
      <w:pPr>
        <w:pStyle w:val="Bodycopy"/>
        <w:rPr>
          <w:rFonts w:ascii="Compatil Fact LT Pro" w:hAnsi="Compatil Fact LT Pro" w:cstheme="majorHAnsi"/>
          <w:b/>
          <w:bCs/>
          <w:color w:val="005596"/>
          <w:sz w:val="20"/>
          <w:szCs w:val="20"/>
        </w:rPr>
      </w:pPr>
    </w:p>
    <w:p w14:paraId="1BA15F9B" w14:textId="77777777" w:rsidR="00DD16AE" w:rsidRDefault="00DD16AE" w:rsidP="00F012E3">
      <w:pPr>
        <w:pStyle w:val="Bodycopy"/>
        <w:rPr>
          <w:rFonts w:ascii="Compatil Fact LT Pro" w:hAnsi="Compatil Fact LT Pro" w:cstheme="majorHAnsi"/>
          <w:b/>
          <w:bCs/>
          <w:color w:val="005596"/>
          <w:sz w:val="20"/>
          <w:szCs w:val="20"/>
        </w:rPr>
      </w:pPr>
    </w:p>
    <w:p w14:paraId="0511001B" w14:textId="77777777" w:rsidR="00DD16AE" w:rsidRDefault="00DD16AE" w:rsidP="00F012E3">
      <w:pPr>
        <w:pStyle w:val="Bodycopy"/>
        <w:rPr>
          <w:rFonts w:ascii="Compatil Fact LT Pro" w:hAnsi="Compatil Fact LT Pro" w:cstheme="majorHAnsi"/>
          <w:b/>
          <w:bCs/>
          <w:color w:val="005596"/>
          <w:sz w:val="20"/>
          <w:szCs w:val="20"/>
        </w:rPr>
      </w:pPr>
    </w:p>
    <w:p w14:paraId="73676A9F" w14:textId="77777777" w:rsidR="00DD16AE" w:rsidRDefault="00DD16AE" w:rsidP="00F012E3">
      <w:pPr>
        <w:pStyle w:val="Bodycopy"/>
        <w:rPr>
          <w:rFonts w:ascii="Compatil Fact LT Pro" w:hAnsi="Compatil Fact LT Pro" w:cstheme="majorHAnsi"/>
          <w:b/>
          <w:bCs/>
          <w:color w:val="005596"/>
          <w:sz w:val="20"/>
          <w:szCs w:val="20"/>
        </w:rPr>
      </w:pPr>
    </w:p>
    <w:p w14:paraId="7778D795" w14:textId="77777777" w:rsidR="00DD16AE" w:rsidRDefault="00DD16AE" w:rsidP="00F012E3">
      <w:pPr>
        <w:pStyle w:val="Bodycopy"/>
        <w:rPr>
          <w:rFonts w:ascii="Compatil Fact LT Pro" w:hAnsi="Compatil Fact LT Pro" w:cstheme="majorHAnsi"/>
          <w:b/>
          <w:bCs/>
          <w:color w:val="005596"/>
          <w:sz w:val="20"/>
          <w:szCs w:val="20"/>
        </w:rPr>
      </w:pPr>
    </w:p>
    <w:p w14:paraId="211D178F" w14:textId="77777777" w:rsidR="00DD16AE" w:rsidRDefault="00DD16AE" w:rsidP="00F012E3">
      <w:pPr>
        <w:pStyle w:val="Bodycopy"/>
        <w:rPr>
          <w:rFonts w:ascii="Compatil Fact LT Pro" w:hAnsi="Compatil Fact LT Pro" w:cstheme="majorHAnsi"/>
          <w:b/>
          <w:bCs/>
          <w:color w:val="005596"/>
          <w:sz w:val="20"/>
          <w:szCs w:val="20"/>
        </w:rPr>
      </w:pPr>
    </w:p>
    <w:p w14:paraId="2D2691A5" w14:textId="77777777" w:rsidR="00DD16AE" w:rsidRDefault="00DD16AE" w:rsidP="00F012E3">
      <w:pPr>
        <w:pStyle w:val="Bodycopy"/>
        <w:rPr>
          <w:rFonts w:ascii="Compatil Fact LT Pro" w:hAnsi="Compatil Fact LT Pro" w:cstheme="majorHAnsi"/>
          <w:b/>
          <w:bCs/>
          <w:color w:val="005596"/>
          <w:sz w:val="20"/>
          <w:szCs w:val="20"/>
        </w:rPr>
      </w:pPr>
    </w:p>
    <w:p w14:paraId="27540631" w14:textId="77777777" w:rsidR="00DD16AE" w:rsidRDefault="00DD16AE" w:rsidP="00F012E3">
      <w:pPr>
        <w:pStyle w:val="Bodycopy"/>
        <w:rPr>
          <w:rFonts w:ascii="Compatil Fact LT Pro" w:hAnsi="Compatil Fact LT Pro" w:cstheme="majorHAnsi"/>
          <w:b/>
          <w:bCs/>
          <w:color w:val="005596"/>
          <w:sz w:val="20"/>
          <w:szCs w:val="20"/>
        </w:rPr>
      </w:pPr>
    </w:p>
    <w:p w14:paraId="5192C5FF" w14:textId="77777777" w:rsidR="00DD16AE" w:rsidRDefault="00DD16AE" w:rsidP="00F012E3">
      <w:pPr>
        <w:pStyle w:val="Bodycopy"/>
        <w:rPr>
          <w:rFonts w:ascii="Compatil Fact LT Pro" w:hAnsi="Compatil Fact LT Pro" w:cstheme="majorHAnsi"/>
          <w:b/>
          <w:bCs/>
          <w:color w:val="005596"/>
          <w:sz w:val="20"/>
          <w:szCs w:val="20"/>
        </w:rPr>
      </w:pPr>
    </w:p>
    <w:p w14:paraId="71F92B2A" w14:textId="77777777" w:rsidR="00DD16AE" w:rsidRDefault="00DD16AE" w:rsidP="00F012E3">
      <w:pPr>
        <w:pStyle w:val="Bodycopy"/>
        <w:rPr>
          <w:rFonts w:ascii="Compatil Fact LT Pro" w:hAnsi="Compatil Fact LT Pro" w:cstheme="majorHAnsi"/>
          <w:b/>
          <w:bCs/>
          <w:color w:val="005596"/>
          <w:sz w:val="20"/>
          <w:szCs w:val="20"/>
        </w:rPr>
      </w:pPr>
    </w:p>
    <w:p w14:paraId="532ED36D" w14:textId="77777777" w:rsidR="00DD16AE" w:rsidRDefault="00DD16AE" w:rsidP="00F012E3">
      <w:pPr>
        <w:pStyle w:val="Bodycopy"/>
        <w:rPr>
          <w:rFonts w:ascii="Compatil Fact LT Pro" w:hAnsi="Compatil Fact LT Pro" w:cstheme="majorHAnsi"/>
          <w:b/>
          <w:bCs/>
          <w:color w:val="005596"/>
          <w:sz w:val="20"/>
          <w:szCs w:val="20"/>
        </w:rPr>
      </w:pPr>
    </w:p>
    <w:p w14:paraId="19058F4F" w14:textId="77777777" w:rsidR="00DD16AE" w:rsidRDefault="00DD16AE" w:rsidP="00F012E3">
      <w:pPr>
        <w:pStyle w:val="Bodycopy"/>
        <w:rPr>
          <w:rFonts w:ascii="Compatil Fact LT Pro" w:hAnsi="Compatil Fact LT Pro" w:cstheme="majorHAnsi"/>
          <w:b/>
          <w:bCs/>
          <w:color w:val="005596"/>
          <w:sz w:val="20"/>
          <w:szCs w:val="20"/>
        </w:rPr>
      </w:pPr>
    </w:p>
    <w:p w14:paraId="0B1BD9FC" w14:textId="77777777" w:rsidR="00DD16AE" w:rsidRDefault="00DD16AE" w:rsidP="00F012E3">
      <w:pPr>
        <w:pStyle w:val="Bodycopy"/>
        <w:rPr>
          <w:rFonts w:ascii="Compatil Fact LT Pro" w:hAnsi="Compatil Fact LT Pro" w:cstheme="majorHAnsi"/>
          <w:b/>
          <w:bCs/>
          <w:color w:val="005596"/>
          <w:sz w:val="20"/>
          <w:szCs w:val="20"/>
        </w:rPr>
      </w:pPr>
    </w:p>
    <w:p w14:paraId="2A500625" w14:textId="77777777" w:rsidR="00DD16AE" w:rsidRDefault="00DD16AE" w:rsidP="00F012E3">
      <w:pPr>
        <w:pStyle w:val="Bodycopy"/>
        <w:rPr>
          <w:rFonts w:ascii="Compatil Fact LT Pro" w:hAnsi="Compatil Fact LT Pro" w:cstheme="majorHAnsi"/>
          <w:b/>
          <w:bCs/>
          <w:color w:val="005596"/>
          <w:sz w:val="20"/>
          <w:szCs w:val="20"/>
        </w:rPr>
      </w:pPr>
    </w:p>
    <w:p w14:paraId="70BC9D35" w14:textId="77777777" w:rsidR="00DD16AE" w:rsidRDefault="00DD16AE" w:rsidP="00F012E3">
      <w:pPr>
        <w:pStyle w:val="Bodycopy"/>
        <w:rPr>
          <w:rFonts w:ascii="Compatil Fact LT Pro" w:hAnsi="Compatil Fact LT Pro" w:cstheme="majorHAnsi"/>
          <w:b/>
          <w:bCs/>
          <w:color w:val="005596"/>
          <w:sz w:val="20"/>
          <w:szCs w:val="20"/>
        </w:rPr>
      </w:pPr>
    </w:p>
    <w:p w14:paraId="73F072B7" w14:textId="77777777" w:rsidR="00DD16AE" w:rsidRDefault="00DD16AE" w:rsidP="00F012E3">
      <w:pPr>
        <w:pStyle w:val="Bodycopy"/>
        <w:rPr>
          <w:rFonts w:ascii="Compatil Fact LT Pro" w:hAnsi="Compatil Fact LT Pro" w:cstheme="majorHAnsi"/>
          <w:b/>
          <w:bCs/>
          <w:color w:val="005596"/>
          <w:sz w:val="20"/>
          <w:szCs w:val="20"/>
        </w:rPr>
      </w:pPr>
    </w:p>
    <w:p w14:paraId="102E47A4" w14:textId="77777777" w:rsidR="00DD16AE" w:rsidRDefault="00DD16AE" w:rsidP="00F012E3">
      <w:pPr>
        <w:pStyle w:val="Bodycopy"/>
        <w:rPr>
          <w:rFonts w:ascii="Compatil Fact LT Pro" w:hAnsi="Compatil Fact LT Pro" w:cstheme="majorHAnsi"/>
          <w:b/>
          <w:bCs/>
          <w:color w:val="005596"/>
          <w:sz w:val="20"/>
          <w:szCs w:val="20"/>
        </w:rPr>
      </w:pPr>
    </w:p>
    <w:p w14:paraId="593A855E" w14:textId="77777777" w:rsidR="00DD16AE" w:rsidRDefault="00DD16AE" w:rsidP="00F012E3">
      <w:pPr>
        <w:pStyle w:val="Bodycopy"/>
        <w:rPr>
          <w:rFonts w:ascii="Compatil Fact LT Pro" w:hAnsi="Compatil Fact LT Pro" w:cstheme="majorHAnsi"/>
          <w:b/>
          <w:bCs/>
          <w:color w:val="005596"/>
          <w:sz w:val="20"/>
          <w:szCs w:val="20"/>
        </w:rPr>
      </w:pPr>
    </w:p>
    <w:p w14:paraId="72C6CE00" w14:textId="77777777" w:rsidR="00DD16AE" w:rsidRDefault="00DD16AE" w:rsidP="00F012E3">
      <w:pPr>
        <w:pStyle w:val="Bodycopy"/>
        <w:rPr>
          <w:rFonts w:ascii="Compatil Fact LT Pro" w:hAnsi="Compatil Fact LT Pro" w:cstheme="majorHAnsi"/>
          <w:b/>
          <w:bCs/>
          <w:color w:val="005596"/>
          <w:sz w:val="20"/>
          <w:szCs w:val="20"/>
        </w:rPr>
      </w:pPr>
    </w:p>
    <w:p w14:paraId="714F0DFB" w14:textId="77777777" w:rsidR="00DD16AE" w:rsidRDefault="00DD16AE" w:rsidP="00F012E3">
      <w:pPr>
        <w:pStyle w:val="Bodycopy"/>
        <w:rPr>
          <w:rFonts w:ascii="Compatil Fact LT Pro" w:hAnsi="Compatil Fact LT Pro" w:cstheme="majorHAnsi"/>
          <w:b/>
          <w:bCs/>
          <w:color w:val="005596"/>
          <w:sz w:val="20"/>
          <w:szCs w:val="20"/>
        </w:rPr>
      </w:pPr>
    </w:p>
    <w:p w14:paraId="02C53057" w14:textId="77777777" w:rsidR="00DD16AE" w:rsidRDefault="00DD16AE" w:rsidP="00F012E3">
      <w:pPr>
        <w:pStyle w:val="Bodycopy"/>
        <w:rPr>
          <w:rFonts w:ascii="Compatil Fact LT Pro" w:hAnsi="Compatil Fact LT Pro" w:cstheme="majorHAnsi"/>
          <w:b/>
          <w:bCs/>
          <w:color w:val="005596"/>
          <w:sz w:val="20"/>
          <w:szCs w:val="20"/>
        </w:rPr>
      </w:pPr>
    </w:p>
    <w:p w14:paraId="54F7101A" w14:textId="77777777" w:rsidR="00DD16AE" w:rsidRDefault="00DD16AE" w:rsidP="00F012E3">
      <w:pPr>
        <w:pStyle w:val="Bodycopy"/>
        <w:rPr>
          <w:rFonts w:ascii="Compatil Fact LT Pro" w:hAnsi="Compatil Fact LT Pro" w:cstheme="majorHAnsi"/>
          <w:b/>
          <w:bCs/>
          <w:color w:val="005596"/>
          <w:sz w:val="20"/>
          <w:szCs w:val="20"/>
        </w:rPr>
      </w:pPr>
    </w:p>
    <w:p w14:paraId="7F1A31DB" w14:textId="2531A7B7" w:rsidR="00F012E3" w:rsidRPr="00CD5402" w:rsidRDefault="00F012E3" w:rsidP="00F012E3">
      <w:pPr>
        <w:pStyle w:val="Bodycopy"/>
        <w:rPr>
          <w:rFonts w:ascii="Compatil Fact LT Pro" w:hAnsi="Compatil Fact LT Pro" w:cstheme="majorHAnsi"/>
          <w:b/>
          <w:bCs/>
          <w:color w:val="005596"/>
          <w:sz w:val="20"/>
          <w:szCs w:val="20"/>
        </w:rPr>
      </w:pPr>
      <w:r w:rsidRPr="00CD5402">
        <w:rPr>
          <w:rFonts w:ascii="Compatil Fact LT Pro" w:hAnsi="Compatil Fact LT Pro" w:cstheme="majorHAnsi"/>
          <w:b/>
          <w:bCs/>
          <w:color w:val="005596"/>
          <w:sz w:val="20"/>
          <w:szCs w:val="20"/>
        </w:rPr>
        <w:t>IMPORTANT INFORMATION</w:t>
      </w:r>
    </w:p>
    <w:p w14:paraId="2AF7880F" w14:textId="77777777" w:rsidR="00F012E3"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9459A4">
        <w:rPr>
          <w:rFonts w:ascii="Compatil Fact LT Pro" w:eastAsiaTheme="minorHAnsi" w:hAnsi="Compatil Fact LT Pro" w:cstheme="majorHAnsi"/>
          <w:color w:val="auto"/>
          <w:sz w:val="16"/>
          <w:szCs w:val="16"/>
          <w:lang w:val="en-AU" w:eastAsia="en-AU"/>
        </w:rPr>
        <w:t xml:space="preserve">Issued by Russell Investment Management Ltd ABN 53 068 338 974, AFSL 247185 (RIM). This document contains factual information only about the Russell Investments Managed Portfolios. The information is not intended to imply any recommendation or opinion about a financial product. RIM is not providing financial product advice and you should consider obtaining independent advice before making any financial decisions. This information has been compiled from sources considered to be reliable but is not guaranteed.  </w:t>
      </w:r>
    </w:p>
    <w:p w14:paraId="752B77B2"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 xml:space="preserve">RIM is part of Russell Investments. RIM </w:t>
      </w:r>
      <w:r w:rsidRPr="00A16639">
        <w:rPr>
          <w:rFonts w:ascii="Compatil Fact LT Pro" w:eastAsiaTheme="minorHAnsi" w:hAnsi="Compatil Fact LT Pro" w:cstheme="majorHAnsi"/>
          <w:color w:val="auto"/>
          <w:sz w:val="16"/>
          <w:szCs w:val="16"/>
          <w:lang w:val="en-AU" w:eastAsia="en-AU"/>
        </w:rPr>
        <w:t>is the issuer of the Russell Investments Funds and Russell Investments ETFs mentioned in this document</w:t>
      </w:r>
      <w:r w:rsidRPr="005F1509">
        <w:rPr>
          <w:rFonts w:ascii="Compatil Fact LT Pro" w:eastAsiaTheme="minorHAnsi" w:hAnsi="Compatil Fact LT Pro" w:cstheme="majorHAnsi"/>
          <w:color w:val="auto"/>
          <w:sz w:val="16"/>
          <w:szCs w:val="16"/>
          <w:lang w:val="en-AU" w:eastAsia="en-AU"/>
        </w:rPr>
        <w:t xml:space="preserve">. Russell Investments or its associates, officers or employees may have interests in the financial products referred to in this information by acting in various roles including broker or adviser, and may receive fees, brokerage or commissions for acting in these capacities. In addition, Russell Investments or its associates, officers or employees may buy or sell the financial products as principal or agent. </w:t>
      </w:r>
    </w:p>
    <w:p w14:paraId="1F9BD61C"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To the extent permitted by law, no liability is accepted for any loss or damage as a result of reliance on this information.</w:t>
      </w:r>
    </w:p>
    <w:p w14:paraId="3871C01F"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 xml:space="preserve">This material does not constitute professional advice or opinion and is not intended to be used as the basis for making an investment decision. </w:t>
      </w:r>
    </w:p>
    <w:p w14:paraId="38C61608" w14:textId="70F4EE05" w:rsidR="00483711" w:rsidRDefault="00F012E3" w:rsidP="00D95644">
      <w:pPr>
        <w:autoSpaceDE w:val="0"/>
        <w:autoSpaceDN w:val="0"/>
        <w:snapToGrid w:val="0"/>
      </w:pPr>
      <w:r w:rsidRPr="005F1509">
        <w:rPr>
          <w:rFonts w:ascii="Compatil Fact LT Pro" w:eastAsiaTheme="minorHAnsi" w:hAnsi="Compatil Fact LT Pro" w:cstheme="majorHAnsi"/>
          <w:color w:val="auto"/>
          <w:sz w:val="16"/>
          <w:szCs w:val="16"/>
          <w:lang w:val="en-AU" w:eastAsia="en-AU"/>
        </w:rPr>
        <w:t>This work is copyright 202</w:t>
      </w:r>
      <w:r w:rsidR="00305D38">
        <w:rPr>
          <w:rFonts w:ascii="Compatil Fact LT Pro" w:eastAsiaTheme="minorHAnsi" w:hAnsi="Compatil Fact LT Pro" w:cstheme="majorHAnsi"/>
          <w:color w:val="auto"/>
          <w:sz w:val="16"/>
          <w:szCs w:val="16"/>
          <w:lang w:val="en-AU" w:eastAsia="en-AU"/>
        </w:rPr>
        <w:t>5</w:t>
      </w:r>
      <w:r w:rsidRPr="005F1509">
        <w:rPr>
          <w:rFonts w:ascii="Compatil Fact LT Pro" w:eastAsiaTheme="minorHAnsi" w:hAnsi="Compatil Fact LT Pro" w:cstheme="majorHAnsi"/>
          <w:color w:val="auto"/>
          <w:sz w:val="16"/>
          <w:szCs w:val="16"/>
          <w:lang w:val="en-AU" w:eastAsia="en-AU"/>
        </w:rPr>
        <w:t xml:space="preserve">. Apart from any use permitted under the Copyright Act 1968, no part may be reproduced by any process, nor may any other exclusive right be exercised, without the permission of Russell Investment Management Ltd. </w:t>
      </w:r>
    </w:p>
    <w:sectPr w:rsidR="00483711" w:rsidSect="002713DF">
      <w:headerReference w:type="default" r:id="rId13"/>
      <w:footerReference w:type="default" r:id="rId14"/>
      <w:type w:val="continuous"/>
      <w:pgSz w:w="11907" w:h="16840" w:code="9"/>
      <w:pgMar w:top="1135" w:right="794" w:bottom="1440" w:left="794"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6587" w14:textId="77777777" w:rsidR="0005688B" w:rsidRDefault="0005688B">
      <w:pPr>
        <w:spacing w:after="0"/>
        <w:rPr>
          <w:color w:val="79BDE8" w:themeColor="background2"/>
        </w:rPr>
      </w:pPr>
      <w:r>
        <w:rPr>
          <w:color w:val="79BDE8" w:themeColor="background2"/>
        </w:rPr>
        <w:separator/>
      </w:r>
    </w:p>
  </w:endnote>
  <w:endnote w:type="continuationSeparator" w:id="0">
    <w:p w14:paraId="4E433116" w14:textId="77777777" w:rsidR="0005688B" w:rsidRDefault="0005688B">
      <w:pPr>
        <w:spacing w:after="0"/>
        <w:rPr>
          <w:color w:val="79BDE8" w:themeColor="background2"/>
        </w:rPr>
      </w:pPr>
      <w:r>
        <w:rPr>
          <w:color w:val="79BDE8" w:themeColor="background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mpatil Fact LT Pro">
    <w:altName w:val="Calibri"/>
    <w:panose1 w:val="02000503080000020003"/>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7EE" w14:textId="2D40D2E2" w:rsidR="005C1CEF" w:rsidRDefault="0018045A">
    <w:pPr>
      <w:pStyle w:val="Footer"/>
      <w:tabs>
        <w:tab w:val="clear" w:pos="10620"/>
        <w:tab w:val="right" w:pos="10319"/>
      </w:tabs>
    </w:pPr>
    <w:r w:rsidRPr="009C6AAE">
      <w:rPr>
        <w:b/>
        <w:noProof/>
      </w:rPr>
      <mc:AlternateContent>
        <mc:Choice Requires="wps">
          <w:drawing>
            <wp:anchor distT="45720" distB="45720" distL="114300" distR="114300" simplePos="0" relativeHeight="251659264" behindDoc="0" locked="0" layoutInCell="1" allowOverlap="1" wp14:anchorId="45EA4D50" wp14:editId="1378CF24">
              <wp:simplePos x="0" y="0"/>
              <wp:positionH relativeFrom="page">
                <wp:posOffset>4015141</wp:posOffset>
              </wp:positionH>
              <wp:positionV relativeFrom="paragraph">
                <wp:posOffset>157863</wp:posOffset>
              </wp:positionV>
              <wp:extent cx="340995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85750"/>
                      </a:xfrm>
                      <a:prstGeom prst="rect">
                        <a:avLst/>
                      </a:prstGeom>
                      <a:noFill/>
                      <a:ln w="9525">
                        <a:noFill/>
                        <a:miter lim="800000"/>
                        <a:headEnd/>
                        <a:tailEnd/>
                      </a:ln>
                    </wps:spPr>
                    <wps:txbx>
                      <w:txbxContent>
                        <w:p w14:paraId="25B8E020" w14:textId="77777777" w:rsidR="0018045A" w:rsidRPr="009C6AAE" w:rsidRDefault="0018045A" w:rsidP="0018045A">
                          <w:pPr>
                            <w:jc w:val="right"/>
                            <w:rPr>
                              <w:color w:val="auto"/>
                              <w:sz w:val="16"/>
                              <w:szCs w:val="16"/>
                            </w:rPr>
                          </w:pPr>
                          <w:r w:rsidRPr="009C6AAE">
                            <w:rPr>
                              <w:color w:val="auto"/>
                              <w:sz w:val="16"/>
                              <w:szCs w:val="16"/>
                            </w:rPr>
                            <w:t>FOR FINANCIAL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A4D50" id="_x0000_t202" coordsize="21600,21600" o:spt="202" path="m,l,21600r21600,l21600,xe">
              <v:stroke joinstyle="miter"/>
              <v:path gradientshapeok="t" o:connecttype="rect"/>
            </v:shapetype>
            <v:shape id="Text Box 2" o:spid="_x0000_s1026" type="#_x0000_t202" style="position:absolute;margin-left:316.15pt;margin-top:12.45pt;width:268.5pt;height:2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" filled="f" stroked="f">
              <v:textbox>
                <w:txbxContent>
                  <w:p w14:paraId="25B8E020" w14:textId="77777777" w:rsidR="0018045A" w:rsidRPr="009C6AAE" w:rsidRDefault="0018045A" w:rsidP="0018045A">
                    <w:pPr>
                      <w:jc w:val="right"/>
                      <w:rPr>
                        <w:color w:val="auto"/>
                        <w:sz w:val="16"/>
                        <w:szCs w:val="16"/>
                      </w:rPr>
                    </w:pPr>
                    <w:r w:rsidRPr="009C6AAE">
                      <w:rPr>
                        <w:color w:val="auto"/>
                        <w:sz w:val="16"/>
                        <w:szCs w:val="16"/>
                      </w:rPr>
                      <w:t>FOR FINANCIAL PROFESSIONAL USE ONLY</w:t>
                    </w:r>
                  </w:p>
                </w:txbxContent>
              </v:textbox>
              <w10:wrap anchorx="page"/>
            </v:shape>
          </w:pict>
        </mc:Fallback>
      </mc:AlternateContent>
    </w:r>
    <w:r w:rsidR="005C1CEF">
      <w:rPr>
        <w:b/>
      </w:rPr>
      <w:t>Russell Investments</w:t>
    </w:r>
    <w:r w:rsidR="005C1CEF">
      <w:t xml:space="preserve"> / Managed Portfolios</w:t>
    </w:r>
    <w:r w:rsidR="005C1CEF">
      <w:tab/>
      <w:t xml:space="preserve">/ </w:t>
    </w:r>
    <w:r w:rsidR="005C1CEF">
      <w:rPr>
        <w:noProof/>
      </w:rPr>
      <w:fldChar w:fldCharType="begin"/>
    </w:r>
    <w:r w:rsidR="005C1CEF">
      <w:rPr>
        <w:noProof/>
      </w:rPr>
      <w:instrText xml:space="preserve"> PAGE   \* MERGEFORMAT </w:instrText>
    </w:r>
    <w:r w:rsidR="005C1CEF">
      <w:rPr>
        <w:noProof/>
      </w:rPr>
      <w:fldChar w:fldCharType="separate"/>
    </w:r>
    <w:r w:rsidR="005C1CEF">
      <w:rPr>
        <w:noProof/>
      </w:rPr>
      <w:t>5</w:t>
    </w:r>
    <w:r w:rsidR="005C1C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1032" w14:textId="23921E2D" w:rsidR="00FB583B" w:rsidRDefault="00FB583B" w:rsidP="00E05E86">
    <w:pPr>
      <w:pStyle w:val="Footer"/>
      <w:tabs>
        <w:tab w:val="right" w:pos="10319"/>
      </w:tabs>
    </w:pPr>
    <w:r w:rsidRPr="009C6AAE">
      <w:rPr>
        <w:b/>
        <w:noProof/>
      </w:rPr>
      <mc:AlternateContent>
        <mc:Choice Requires="wps">
          <w:drawing>
            <wp:anchor distT="45720" distB="45720" distL="114300" distR="114300" simplePos="0" relativeHeight="251665408" behindDoc="0" locked="0" layoutInCell="1" allowOverlap="1" wp14:anchorId="5A4E1B90" wp14:editId="01845582">
              <wp:simplePos x="0" y="0"/>
              <wp:positionH relativeFrom="page">
                <wp:posOffset>4015141</wp:posOffset>
              </wp:positionH>
              <wp:positionV relativeFrom="paragraph">
                <wp:posOffset>157863</wp:posOffset>
              </wp:positionV>
              <wp:extent cx="3409950" cy="2857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85750"/>
                      </a:xfrm>
                      <a:prstGeom prst="rect">
                        <a:avLst/>
                      </a:prstGeom>
                      <a:noFill/>
                      <a:ln w="9525">
                        <a:noFill/>
                        <a:miter lim="800000"/>
                        <a:headEnd/>
                        <a:tailEnd/>
                      </a:ln>
                    </wps:spPr>
                    <wps:txbx>
                      <w:txbxContent>
                        <w:p w14:paraId="197195AE" w14:textId="77777777" w:rsidR="00FB583B" w:rsidRPr="009C6AAE" w:rsidRDefault="00FB583B" w:rsidP="0018045A">
                          <w:pPr>
                            <w:jc w:val="right"/>
                            <w:rPr>
                              <w:color w:val="auto"/>
                              <w:sz w:val="16"/>
                              <w:szCs w:val="16"/>
                            </w:rPr>
                          </w:pPr>
                          <w:r w:rsidRPr="009C6AAE">
                            <w:rPr>
                              <w:color w:val="auto"/>
                              <w:sz w:val="16"/>
                              <w:szCs w:val="16"/>
                            </w:rPr>
                            <w:t>FOR FINANCIAL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E1B90" id="_x0000_t202" coordsize="21600,21600" o:spt="202" path="m,l,21600r21600,l21600,xe">
              <v:stroke joinstyle="miter"/>
              <v:path gradientshapeok="t" o:connecttype="rect"/>
            </v:shapetype>
            <v:shape id="_x0000_s1027" type="#_x0000_t202" style="position:absolute;margin-left:316.15pt;margin-top:12.45pt;width:268.5pt;height:2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k5+QEAANQ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" filled="f" stroked="f">
              <v:textbox>
                <w:txbxContent>
                  <w:p w14:paraId="197195AE" w14:textId="77777777" w:rsidR="00FB583B" w:rsidRPr="009C6AAE" w:rsidRDefault="00FB583B" w:rsidP="0018045A">
                    <w:pPr>
                      <w:jc w:val="right"/>
                      <w:rPr>
                        <w:color w:val="auto"/>
                        <w:sz w:val="16"/>
                        <w:szCs w:val="16"/>
                      </w:rPr>
                    </w:pPr>
                    <w:r w:rsidRPr="009C6AAE">
                      <w:rPr>
                        <w:color w:val="auto"/>
                        <w:sz w:val="16"/>
                        <w:szCs w:val="16"/>
                      </w:rPr>
                      <w:t>FOR FINANCIAL PROFESSIONAL USE ONLY</w:t>
                    </w:r>
                  </w:p>
                </w:txbxContent>
              </v:textbox>
              <w10:wrap anchorx="page"/>
            </v:shape>
          </w:pict>
        </mc:Fallback>
      </mc:AlternateContent>
    </w:r>
    <w:r>
      <w:rPr>
        <w:b/>
      </w:rPr>
      <w:t>Russell Investments</w:t>
    </w:r>
    <w:r>
      <w:t xml:space="preserve"> / </w:t>
    </w:r>
    <w:r w:rsidR="005F1509">
      <w:t>Managed Portfolios</w:t>
    </w:r>
    <w:r>
      <w:tab/>
      <w:t xml:space="preserve">/ </w:t>
    </w:r>
    <w:r>
      <w:rPr>
        <w:noProof/>
      </w:rPr>
      <w:fldChar w:fldCharType="begin"/>
    </w:r>
    <w:r>
      <w:rPr>
        <w:noProof/>
      </w:rPr>
      <w:instrText xml:space="preserve"> PAGE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0028" w14:textId="77777777" w:rsidR="0005688B" w:rsidRDefault="0005688B">
      <w:pPr>
        <w:spacing w:after="0"/>
        <w:rPr>
          <w:color w:val="79BDE8" w:themeColor="background2"/>
        </w:rPr>
      </w:pPr>
      <w:r>
        <w:rPr>
          <w:color w:val="79BDE8" w:themeColor="background2"/>
        </w:rPr>
        <w:separator/>
      </w:r>
    </w:p>
  </w:footnote>
  <w:footnote w:type="continuationSeparator" w:id="0">
    <w:p w14:paraId="7E68E8C5" w14:textId="77777777" w:rsidR="0005688B" w:rsidRDefault="0005688B">
      <w:pPr>
        <w:spacing w:after="0"/>
        <w:rPr>
          <w:color w:val="79BDE8" w:themeColor="background2"/>
        </w:rPr>
      </w:pPr>
      <w:r>
        <w:rPr>
          <w:color w:val="79BDE8" w:themeColor="background2"/>
        </w:rPr>
        <w:continuationSeparator/>
      </w:r>
    </w:p>
  </w:footnote>
  <w:footnote w:id="1">
    <w:p w14:paraId="2901CFB5" w14:textId="157BBF15" w:rsidR="00277570" w:rsidRPr="004F2818" w:rsidRDefault="00277570" w:rsidP="00627E56">
      <w:pPr>
        <w:pStyle w:val="Tablegraphintrocopy"/>
        <w:rPr>
          <w:lang w:val="en-AU"/>
        </w:rPr>
      </w:pPr>
      <w:r w:rsidRPr="00627E56">
        <w:rPr>
          <w:rStyle w:val="FootnoteReference"/>
          <w:rFonts w:ascii="Arial" w:hAnsi="Arial" w:cs="Arial"/>
          <w:szCs w:val="16"/>
        </w:rPr>
        <w:footnoteRef/>
      </w:r>
      <w:r w:rsidRPr="00627E56">
        <w:rPr>
          <w:rFonts w:ascii="Arial" w:hAnsi="Arial" w:cs="Arial"/>
          <w:szCs w:val="16"/>
        </w:rPr>
        <w:t xml:space="preserve"> </w:t>
      </w:r>
      <w:r w:rsidRPr="00627E56">
        <w:rPr>
          <w:rFonts w:ascii="Compatil Fact LT Pro" w:eastAsiaTheme="minorHAnsi" w:hAnsi="Compatil Fact LT Pro" w:cstheme="majorHAnsi"/>
          <w:color w:val="auto"/>
          <w:spacing w:val="0"/>
          <w:szCs w:val="16"/>
          <w:lang w:val="en-AU" w:eastAsia="en-AU"/>
        </w:rPr>
        <w:t>Asset class breakdown is based on the model and may vary slightly depending on the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B20D" w14:textId="5BAB15FD" w:rsidR="00FB583B" w:rsidRDefault="00C305FD" w:rsidP="00FB583B">
    <w:pPr>
      <w:pStyle w:val="Header"/>
      <w:pBdr>
        <w:top w:val="none" w:sz="0" w:space="0" w:color="auto"/>
      </w:pBdr>
    </w:pPr>
    <w:bookmarkStart w:id="0" w:name="_Hlk123809019"/>
    <w:r>
      <w:rPr>
        <w:noProof/>
      </w:rPr>
      <w:drawing>
        <wp:anchor distT="0" distB="0" distL="114300" distR="114300" simplePos="0" relativeHeight="251659776" behindDoc="1" locked="1" layoutInCell="1" allowOverlap="1" wp14:anchorId="4D777EF9" wp14:editId="1CB297C9">
          <wp:simplePos x="0" y="0"/>
          <wp:positionH relativeFrom="page">
            <wp:posOffset>8890</wp:posOffset>
          </wp:positionH>
          <wp:positionV relativeFrom="page">
            <wp:align>top</wp:align>
          </wp:positionV>
          <wp:extent cx="7766685" cy="1827530"/>
          <wp:effectExtent l="0" t="0" r="5715" b="1270"/>
          <wp:wrapNone/>
          <wp:docPr id="541957477" name="Picture 54195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extLst>
                      <a:ext uri="{28A0092B-C50C-407E-A947-70E740481C1C}">
                        <a14:useLocalDpi xmlns:a14="http://schemas.microsoft.com/office/drawing/2010/main" val="0"/>
                      </a:ext>
                    </a:extLst>
                  </a:blip>
                  <a:stretch>
                    <a:fillRect/>
                  </a:stretch>
                </pic:blipFill>
                <pic:spPr>
                  <a:xfrm>
                    <a:off x="0" y="0"/>
                    <a:ext cx="7766685" cy="1827530"/>
                  </a:xfrm>
                  <a:prstGeom prst="rect">
                    <a:avLst/>
                  </a:prstGeom>
                </pic:spPr>
              </pic:pic>
            </a:graphicData>
          </a:graphic>
          <wp14:sizeRelH relativeFrom="margin">
            <wp14:pctWidth>0</wp14:pctWidth>
          </wp14:sizeRelH>
          <wp14:sizeRelV relativeFrom="margin">
            <wp14:pctHeight>0</wp14:pctHeight>
          </wp14:sizeRelV>
        </wp:anchor>
      </w:drawing>
    </w:r>
    <w:bookmarkEnd w:id="0"/>
    <w:r w:rsidR="00FB583B">
      <w:rPr>
        <w:noProof/>
        <w:sz w:val="8"/>
      </w:rPr>
      <w:drawing>
        <wp:anchor distT="0" distB="0" distL="114300" distR="114300" simplePos="0" relativeHeight="251658752" behindDoc="1" locked="1" layoutInCell="1" allowOverlap="1" wp14:anchorId="27B46E42" wp14:editId="055627C8">
          <wp:simplePos x="0" y="0"/>
          <wp:positionH relativeFrom="page">
            <wp:posOffset>11430</wp:posOffset>
          </wp:positionH>
          <wp:positionV relativeFrom="page">
            <wp:posOffset>1366520</wp:posOffset>
          </wp:positionV>
          <wp:extent cx="7772400" cy="120650"/>
          <wp:effectExtent l="0" t="0" r="0" b="0"/>
          <wp:wrapNone/>
          <wp:docPr id="2097352976" name="Picture 209735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rcRect t="15876" b="15876"/>
                  <a:stretch>
                    <a:fillRect/>
                  </a:stretch>
                </pic:blipFill>
                <pic:spPr bwMode="auto">
                  <a:xfrm>
                    <a:off x="0" y="0"/>
                    <a:ext cx="7772400" cy="12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583B">
      <w:rPr>
        <w:noProof/>
      </w:rPr>
      <w:drawing>
        <wp:anchor distT="0" distB="0" distL="114300" distR="114300" simplePos="0" relativeHeight="251656704" behindDoc="1" locked="1" layoutInCell="1" allowOverlap="1" wp14:anchorId="7E3025EF" wp14:editId="21BE9955">
          <wp:simplePos x="0" y="0"/>
          <wp:positionH relativeFrom="page">
            <wp:posOffset>5572125</wp:posOffset>
          </wp:positionH>
          <wp:positionV relativeFrom="page">
            <wp:posOffset>470535</wp:posOffset>
          </wp:positionV>
          <wp:extent cx="1445260" cy="330200"/>
          <wp:effectExtent l="0" t="0" r="2540" b="0"/>
          <wp:wrapNone/>
          <wp:docPr id="1642245354" name="Picture 164224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4526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3DEE" w14:textId="77777777" w:rsidR="00FB583B" w:rsidRDefault="00FB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FA3C96"/>
    <w:lvl w:ilvl="0">
      <w:start w:val="1"/>
      <w:numFmt w:val="decimal"/>
      <w:lvlText w:val="%1."/>
      <w:lvlJc w:val="left"/>
      <w:pPr>
        <w:tabs>
          <w:tab w:val="num" w:pos="1800"/>
        </w:tabs>
        <w:ind w:left="1800" w:hanging="360"/>
      </w:pPr>
    </w:lvl>
  </w:abstractNum>
  <w:abstractNum w:abstractNumId="1" w15:restartNumberingAfterBreak="0">
    <w:nsid w:val="FFFFFF80"/>
    <w:multiLevelType w:val="singleLevel"/>
    <w:tmpl w:val="CA86332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9162E23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326922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C94FA5"/>
    <w:multiLevelType w:val="multilevel"/>
    <w:tmpl w:val="0409001F"/>
    <w:styleLink w:val="Decimaloutlin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94489"/>
    <w:multiLevelType w:val="hybridMultilevel"/>
    <w:tmpl w:val="DBA6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50A1B"/>
    <w:multiLevelType w:val="multilevel"/>
    <w:tmpl w:val="88F6AD52"/>
    <w:styleLink w:val="Bulletsymbols"/>
    <w:lvl w:ilvl="0">
      <w:start w:val="1"/>
      <w:numFmt w:val="bullet"/>
      <w:lvlText w:val=""/>
      <w:lvlJc w:val="left"/>
      <w:pPr>
        <w:ind w:left="360" w:hanging="360"/>
      </w:pPr>
      <w:rPr>
        <w:rFonts w:ascii="Symbol" w:hAnsi="Symbol"/>
        <w:color w:val="79BDE8" w:themeColor="background2"/>
        <w:position w:val="2"/>
        <w:sz w:val="18"/>
      </w:rPr>
    </w:lvl>
    <w:lvl w:ilvl="1">
      <w:start w:val="1"/>
      <w:numFmt w:val="bullet"/>
      <w:lvlText w:val=""/>
      <w:lvlJc w:val="left"/>
      <w:pPr>
        <w:ind w:left="720" w:hanging="360"/>
      </w:pPr>
      <w:rPr>
        <w:rFonts w:ascii="Symbol" w:hAnsi="Symbol"/>
        <w:color w:val="79BDE8" w:themeColor="background2"/>
        <w:position w:val="2"/>
        <w:sz w:val="18"/>
      </w:rPr>
    </w:lvl>
    <w:lvl w:ilvl="2">
      <w:start w:val="1"/>
      <w:numFmt w:val="bullet"/>
      <w:lvlText w:val=""/>
      <w:lvlJc w:val="left"/>
      <w:pPr>
        <w:ind w:left="1080" w:hanging="360"/>
      </w:pPr>
      <w:rPr>
        <w:rFonts w:ascii="Symbol" w:hAnsi="Symbol"/>
        <w:color w:val="79BDE8" w:themeColor="background2"/>
        <w:position w:val="2"/>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881E5B"/>
    <w:multiLevelType w:val="hybridMultilevel"/>
    <w:tmpl w:val="F0604B8C"/>
    <w:lvl w:ilvl="0" w:tplc="8A24FD8C">
      <w:start w:val="1"/>
      <w:numFmt w:val="bullet"/>
      <w:pStyle w:val="Bulletlistcopy"/>
      <w:lvlText w:val=""/>
      <w:lvlJc w:val="left"/>
      <w:pPr>
        <w:ind w:left="720" w:hanging="360"/>
      </w:pPr>
      <w:rPr>
        <w:rFonts w:ascii="Symbol" w:hAnsi="Symbol" w:hint="default"/>
        <w:color w:val="79BDE8"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1808"/>
    <w:multiLevelType w:val="hybridMultilevel"/>
    <w:tmpl w:val="5518DD4A"/>
    <w:lvl w:ilvl="0" w:tplc="66B0DE34">
      <w:start w:val="1"/>
      <w:numFmt w:val="bullet"/>
      <w:lvlText w:val=""/>
      <w:lvlJc w:val="left"/>
      <w:pPr>
        <w:ind w:left="720" w:hanging="360"/>
      </w:pPr>
      <w:rPr>
        <w:rFonts w:ascii="Symbol" w:hAnsi="Symbol" w:hint="default"/>
        <w:color w:val="F57E2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72AC3"/>
    <w:multiLevelType w:val="hybridMultilevel"/>
    <w:tmpl w:val="55F64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EC566D8"/>
    <w:multiLevelType w:val="hybridMultilevel"/>
    <w:tmpl w:val="8F7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F11357"/>
    <w:multiLevelType w:val="hybridMultilevel"/>
    <w:tmpl w:val="2F74D4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DF0A31"/>
    <w:multiLevelType w:val="hybridMultilevel"/>
    <w:tmpl w:val="435E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16F78"/>
    <w:multiLevelType w:val="hybridMultilevel"/>
    <w:tmpl w:val="E168D7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6F17327"/>
    <w:multiLevelType w:val="hybridMultilevel"/>
    <w:tmpl w:val="C4AE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1B3A53"/>
    <w:multiLevelType w:val="hybridMultilevel"/>
    <w:tmpl w:val="A1C0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49629F"/>
    <w:multiLevelType w:val="hybridMultilevel"/>
    <w:tmpl w:val="2A94CD10"/>
    <w:lvl w:ilvl="0" w:tplc="66B0DE34">
      <w:start w:val="1"/>
      <w:numFmt w:val="bullet"/>
      <w:lvlText w:val=""/>
      <w:lvlJc w:val="left"/>
      <w:pPr>
        <w:ind w:left="1800" w:hanging="360"/>
      </w:pPr>
      <w:rPr>
        <w:rFonts w:ascii="Symbol" w:hAnsi="Symbol" w:hint="default"/>
        <w:color w:val="F57E20" w:themeColor="accent1"/>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3FE03EDE"/>
    <w:multiLevelType w:val="hybridMultilevel"/>
    <w:tmpl w:val="1FFC86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07B61FF"/>
    <w:multiLevelType w:val="hybridMultilevel"/>
    <w:tmpl w:val="0E40F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E0094"/>
    <w:multiLevelType w:val="multilevel"/>
    <w:tmpl w:val="1FDE0F3E"/>
    <w:styleLink w:val="Alphanumericlist"/>
    <w:lvl w:ilvl="0">
      <w:start w:val="1"/>
      <w:numFmt w:val="decimal"/>
      <w:lvlText w:val="%1."/>
      <w:lvlJc w:val="left"/>
      <w:pPr>
        <w:ind w:left="360" w:hanging="360"/>
      </w:pPr>
      <w:rPr>
        <w:rFonts w:hint="default"/>
        <w:b/>
        <w:i w:val="0"/>
        <w:color w:val="79BDE8" w:themeColor="background2"/>
      </w:rPr>
    </w:lvl>
    <w:lvl w:ilvl="1">
      <w:start w:val="1"/>
      <w:numFmt w:val="lowerLetter"/>
      <w:lvlText w:val="%2."/>
      <w:lvlJc w:val="left"/>
      <w:pPr>
        <w:ind w:left="720" w:hanging="360"/>
      </w:pPr>
      <w:rPr>
        <w:rFonts w:hint="default"/>
        <w:b/>
        <w:color w:val="79BDE8" w:themeColor="background2"/>
      </w:rPr>
    </w:lvl>
    <w:lvl w:ilvl="2">
      <w:start w:val="1"/>
      <w:numFmt w:val="lowerRoman"/>
      <w:lvlText w:val="%3."/>
      <w:lvlJc w:val="left"/>
      <w:pPr>
        <w:ind w:left="1080" w:hanging="360"/>
      </w:pPr>
      <w:rPr>
        <w:rFonts w:hint="default"/>
        <w:b/>
        <w:color w:val="79BDE8"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605844"/>
    <w:multiLevelType w:val="hybridMultilevel"/>
    <w:tmpl w:val="05B8DA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45A4CE2"/>
    <w:multiLevelType w:val="hybridMultilevel"/>
    <w:tmpl w:val="554244B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48A04B0"/>
    <w:multiLevelType w:val="hybridMultilevel"/>
    <w:tmpl w:val="2884A4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ED111E4"/>
    <w:multiLevelType w:val="hybridMultilevel"/>
    <w:tmpl w:val="0EFA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C6189"/>
    <w:multiLevelType w:val="hybridMultilevel"/>
    <w:tmpl w:val="2FD4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3161199">
    <w:abstractNumId w:val="19"/>
  </w:num>
  <w:num w:numId="2" w16cid:durableId="1316180746">
    <w:abstractNumId w:val="6"/>
  </w:num>
  <w:num w:numId="3" w16cid:durableId="703987822">
    <w:abstractNumId w:val="4"/>
  </w:num>
  <w:num w:numId="4" w16cid:durableId="528570502">
    <w:abstractNumId w:val="7"/>
  </w:num>
  <w:num w:numId="5" w16cid:durableId="1596816051">
    <w:abstractNumId w:val="17"/>
  </w:num>
  <w:num w:numId="6" w16cid:durableId="327951856">
    <w:abstractNumId w:val="22"/>
  </w:num>
  <w:num w:numId="7" w16cid:durableId="1235310619">
    <w:abstractNumId w:val="9"/>
  </w:num>
  <w:num w:numId="8" w16cid:durableId="178156229">
    <w:abstractNumId w:val="20"/>
  </w:num>
  <w:num w:numId="9" w16cid:durableId="1587884412">
    <w:abstractNumId w:val="9"/>
  </w:num>
  <w:num w:numId="10" w16cid:durableId="1334067672">
    <w:abstractNumId w:val="17"/>
  </w:num>
  <w:num w:numId="11" w16cid:durableId="216362312">
    <w:abstractNumId w:val="20"/>
  </w:num>
  <w:num w:numId="12" w16cid:durableId="601887336">
    <w:abstractNumId w:val="22"/>
  </w:num>
  <w:num w:numId="13" w16cid:durableId="993147431">
    <w:abstractNumId w:val="12"/>
  </w:num>
  <w:num w:numId="14" w16cid:durableId="1711150111">
    <w:abstractNumId w:val="5"/>
  </w:num>
  <w:num w:numId="15" w16cid:durableId="1316911883">
    <w:abstractNumId w:val="15"/>
  </w:num>
  <w:num w:numId="16" w16cid:durableId="522867078">
    <w:abstractNumId w:val="18"/>
  </w:num>
  <w:num w:numId="17" w16cid:durableId="1306937002">
    <w:abstractNumId w:val="13"/>
  </w:num>
  <w:num w:numId="18" w16cid:durableId="951941352">
    <w:abstractNumId w:val="1"/>
  </w:num>
  <w:num w:numId="19" w16cid:durableId="115489361">
    <w:abstractNumId w:val="0"/>
  </w:num>
  <w:num w:numId="20" w16cid:durableId="1247693586">
    <w:abstractNumId w:val="2"/>
  </w:num>
  <w:num w:numId="21" w16cid:durableId="646394668">
    <w:abstractNumId w:val="16"/>
  </w:num>
  <w:num w:numId="22" w16cid:durableId="1534687178">
    <w:abstractNumId w:val="8"/>
  </w:num>
  <w:num w:numId="23" w16cid:durableId="1271009434">
    <w:abstractNumId w:val="21"/>
  </w:num>
  <w:num w:numId="24" w16cid:durableId="370695471">
    <w:abstractNumId w:val="11"/>
  </w:num>
  <w:num w:numId="25" w16cid:durableId="2028871668">
    <w:abstractNumId w:val="14"/>
  </w:num>
  <w:num w:numId="26" w16cid:durableId="1789738022">
    <w:abstractNumId w:val="10"/>
  </w:num>
  <w:num w:numId="27" w16cid:durableId="142353045">
    <w:abstractNumId w:val="23"/>
  </w:num>
  <w:num w:numId="28" w16cid:durableId="1385520587">
    <w:abstractNumId w:val="24"/>
  </w:num>
  <w:num w:numId="29" w16cid:durableId="264074599">
    <w:abstractNumId w:val="23"/>
  </w:num>
  <w:num w:numId="30" w16cid:durableId="4919863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10"/>
    <w:rsid w:val="00000AC3"/>
    <w:rsid w:val="000026DE"/>
    <w:rsid w:val="00002AC8"/>
    <w:rsid w:val="00003560"/>
    <w:rsid w:val="00006D59"/>
    <w:rsid w:val="0000779C"/>
    <w:rsid w:val="00011CE6"/>
    <w:rsid w:val="00017242"/>
    <w:rsid w:val="00020AB9"/>
    <w:rsid w:val="00021D05"/>
    <w:rsid w:val="00033662"/>
    <w:rsid w:val="00040090"/>
    <w:rsid w:val="00050EAD"/>
    <w:rsid w:val="00053D2E"/>
    <w:rsid w:val="00055941"/>
    <w:rsid w:val="0005688B"/>
    <w:rsid w:val="000632F1"/>
    <w:rsid w:val="000652C8"/>
    <w:rsid w:val="000669B1"/>
    <w:rsid w:val="000746C2"/>
    <w:rsid w:val="00076AD4"/>
    <w:rsid w:val="000848DC"/>
    <w:rsid w:val="000864EF"/>
    <w:rsid w:val="00092D6F"/>
    <w:rsid w:val="00093F37"/>
    <w:rsid w:val="000954D4"/>
    <w:rsid w:val="00097096"/>
    <w:rsid w:val="000A44DA"/>
    <w:rsid w:val="000B0D23"/>
    <w:rsid w:val="000B236E"/>
    <w:rsid w:val="000B3595"/>
    <w:rsid w:val="000B4CED"/>
    <w:rsid w:val="000B79CC"/>
    <w:rsid w:val="000C32E6"/>
    <w:rsid w:val="000C45F7"/>
    <w:rsid w:val="000C463F"/>
    <w:rsid w:val="000C47BC"/>
    <w:rsid w:val="000D0A9A"/>
    <w:rsid w:val="000D249B"/>
    <w:rsid w:val="000D7288"/>
    <w:rsid w:val="000D7BCC"/>
    <w:rsid w:val="000E0F2D"/>
    <w:rsid w:val="000E1BF8"/>
    <w:rsid w:val="000E230D"/>
    <w:rsid w:val="000E57F6"/>
    <w:rsid w:val="000E74BC"/>
    <w:rsid w:val="000F1C82"/>
    <w:rsid w:val="000F602B"/>
    <w:rsid w:val="000F7B8B"/>
    <w:rsid w:val="000F7FBD"/>
    <w:rsid w:val="00100099"/>
    <w:rsid w:val="001015A3"/>
    <w:rsid w:val="001017A4"/>
    <w:rsid w:val="001040BA"/>
    <w:rsid w:val="00104743"/>
    <w:rsid w:val="00105DC4"/>
    <w:rsid w:val="00112941"/>
    <w:rsid w:val="00123338"/>
    <w:rsid w:val="001235ED"/>
    <w:rsid w:val="00123721"/>
    <w:rsid w:val="00124626"/>
    <w:rsid w:val="00132570"/>
    <w:rsid w:val="0013369B"/>
    <w:rsid w:val="0014212F"/>
    <w:rsid w:val="00142E43"/>
    <w:rsid w:val="001453DB"/>
    <w:rsid w:val="00150467"/>
    <w:rsid w:val="00150999"/>
    <w:rsid w:val="001510FB"/>
    <w:rsid w:val="00151E9D"/>
    <w:rsid w:val="00152348"/>
    <w:rsid w:val="00155115"/>
    <w:rsid w:val="00155333"/>
    <w:rsid w:val="00161696"/>
    <w:rsid w:val="00162B45"/>
    <w:rsid w:val="0016301F"/>
    <w:rsid w:val="001637B1"/>
    <w:rsid w:val="0016569D"/>
    <w:rsid w:val="00166A70"/>
    <w:rsid w:val="001672C4"/>
    <w:rsid w:val="0017603A"/>
    <w:rsid w:val="0018045A"/>
    <w:rsid w:val="00182CAE"/>
    <w:rsid w:val="0018373C"/>
    <w:rsid w:val="00187DF0"/>
    <w:rsid w:val="0019073D"/>
    <w:rsid w:val="00192C7F"/>
    <w:rsid w:val="00194489"/>
    <w:rsid w:val="00196134"/>
    <w:rsid w:val="0019627D"/>
    <w:rsid w:val="001B252E"/>
    <w:rsid w:val="001B4201"/>
    <w:rsid w:val="001B44EC"/>
    <w:rsid w:val="001B5612"/>
    <w:rsid w:val="001B5DC9"/>
    <w:rsid w:val="001B69F7"/>
    <w:rsid w:val="001C2C75"/>
    <w:rsid w:val="001C5911"/>
    <w:rsid w:val="001C6C0A"/>
    <w:rsid w:val="001E106E"/>
    <w:rsid w:val="001E222D"/>
    <w:rsid w:val="001E4D8B"/>
    <w:rsid w:val="001E63D2"/>
    <w:rsid w:val="001E657A"/>
    <w:rsid w:val="001E74BC"/>
    <w:rsid w:val="001F7596"/>
    <w:rsid w:val="0020032B"/>
    <w:rsid w:val="002078F2"/>
    <w:rsid w:val="00210DD4"/>
    <w:rsid w:val="00217B04"/>
    <w:rsid w:val="00224AC7"/>
    <w:rsid w:val="0023402E"/>
    <w:rsid w:val="002359A7"/>
    <w:rsid w:val="0023754A"/>
    <w:rsid w:val="00241D46"/>
    <w:rsid w:val="00245B59"/>
    <w:rsid w:val="00247DCC"/>
    <w:rsid w:val="002515D7"/>
    <w:rsid w:val="0025471E"/>
    <w:rsid w:val="00254CF3"/>
    <w:rsid w:val="002556D2"/>
    <w:rsid w:val="0025612D"/>
    <w:rsid w:val="002621EA"/>
    <w:rsid w:val="0026235D"/>
    <w:rsid w:val="0026247E"/>
    <w:rsid w:val="00262F4E"/>
    <w:rsid w:val="00264EDD"/>
    <w:rsid w:val="00265575"/>
    <w:rsid w:val="00266BCC"/>
    <w:rsid w:val="002713DF"/>
    <w:rsid w:val="002744D7"/>
    <w:rsid w:val="00276121"/>
    <w:rsid w:val="00277570"/>
    <w:rsid w:val="00284A4A"/>
    <w:rsid w:val="00292649"/>
    <w:rsid w:val="002A18C7"/>
    <w:rsid w:val="002A505F"/>
    <w:rsid w:val="002A6048"/>
    <w:rsid w:val="002B0BE7"/>
    <w:rsid w:val="002B2C75"/>
    <w:rsid w:val="002B392E"/>
    <w:rsid w:val="002B3E2F"/>
    <w:rsid w:val="002B681B"/>
    <w:rsid w:val="002B6CEE"/>
    <w:rsid w:val="002B6E0F"/>
    <w:rsid w:val="002B7FDA"/>
    <w:rsid w:val="002C168E"/>
    <w:rsid w:val="002C2E70"/>
    <w:rsid w:val="002C345E"/>
    <w:rsid w:val="002C4570"/>
    <w:rsid w:val="002C53F6"/>
    <w:rsid w:val="002C5C3A"/>
    <w:rsid w:val="002D052A"/>
    <w:rsid w:val="002D5900"/>
    <w:rsid w:val="002D6630"/>
    <w:rsid w:val="002E0323"/>
    <w:rsid w:val="002E2D12"/>
    <w:rsid w:val="002E3ACF"/>
    <w:rsid w:val="002E4747"/>
    <w:rsid w:val="002E49DD"/>
    <w:rsid w:val="002E6800"/>
    <w:rsid w:val="002F0653"/>
    <w:rsid w:val="002F2F64"/>
    <w:rsid w:val="002F3164"/>
    <w:rsid w:val="002F3ADA"/>
    <w:rsid w:val="0030070D"/>
    <w:rsid w:val="0030220D"/>
    <w:rsid w:val="003037BC"/>
    <w:rsid w:val="00305D38"/>
    <w:rsid w:val="0031484D"/>
    <w:rsid w:val="0031665A"/>
    <w:rsid w:val="00317245"/>
    <w:rsid w:val="00317995"/>
    <w:rsid w:val="00321787"/>
    <w:rsid w:val="003218A9"/>
    <w:rsid w:val="003264F9"/>
    <w:rsid w:val="00326874"/>
    <w:rsid w:val="00334C9B"/>
    <w:rsid w:val="00334FF8"/>
    <w:rsid w:val="00337B74"/>
    <w:rsid w:val="003447E6"/>
    <w:rsid w:val="00346A1D"/>
    <w:rsid w:val="00350F1D"/>
    <w:rsid w:val="00352371"/>
    <w:rsid w:val="00354B89"/>
    <w:rsid w:val="00363ABD"/>
    <w:rsid w:val="003648DF"/>
    <w:rsid w:val="00371BB1"/>
    <w:rsid w:val="003776B3"/>
    <w:rsid w:val="00377ED5"/>
    <w:rsid w:val="00380DF4"/>
    <w:rsid w:val="003851FB"/>
    <w:rsid w:val="00390DBF"/>
    <w:rsid w:val="00390FAC"/>
    <w:rsid w:val="00391F83"/>
    <w:rsid w:val="003921B2"/>
    <w:rsid w:val="003933EC"/>
    <w:rsid w:val="00393CF9"/>
    <w:rsid w:val="00394718"/>
    <w:rsid w:val="00397C76"/>
    <w:rsid w:val="003A0D31"/>
    <w:rsid w:val="003B2B3E"/>
    <w:rsid w:val="003B3EFB"/>
    <w:rsid w:val="003B4052"/>
    <w:rsid w:val="003B4523"/>
    <w:rsid w:val="003B486B"/>
    <w:rsid w:val="003B56F4"/>
    <w:rsid w:val="003B68FD"/>
    <w:rsid w:val="003B69C4"/>
    <w:rsid w:val="003C14AE"/>
    <w:rsid w:val="003C2E38"/>
    <w:rsid w:val="003C3FB9"/>
    <w:rsid w:val="003C4A7A"/>
    <w:rsid w:val="003D15E5"/>
    <w:rsid w:val="003D488B"/>
    <w:rsid w:val="003D4E85"/>
    <w:rsid w:val="003D6C16"/>
    <w:rsid w:val="003E229E"/>
    <w:rsid w:val="003E48C1"/>
    <w:rsid w:val="003E502B"/>
    <w:rsid w:val="003E68FC"/>
    <w:rsid w:val="003F243F"/>
    <w:rsid w:val="003F3FD4"/>
    <w:rsid w:val="003F5431"/>
    <w:rsid w:val="003F6BB8"/>
    <w:rsid w:val="00406054"/>
    <w:rsid w:val="0041629E"/>
    <w:rsid w:val="00417948"/>
    <w:rsid w:val="00427A12"/>
    <w:rsid w:val="0043259E"/>
    <w:rsid w:val="0043647C"/>
    <w:rsid w:val="00437B87"/>
    <w:rsid w:val="00441ADC"/>
    <w:rsid w:val="00442896"/>
    <w:rsid w:val="00453F44"/>
    <w:rsid w:val="00454768"/>
    <w:rsid w:val="004551A7"/>
    <w:rsid w:val="0046370D"/>
    <w:rsid w:val="00465298"/>
    <w:rsid w:val="00476D63"/>
    <w:rsid w:val="004830EF"/>
    <w:rsid w:val="004834DC"/>
    <w:rsid w:val="00483711"/>
    <w:rsid w:val="00486397"/>
    <w:rsid w:val="00487BFC"/>
    <w:rsid w:val="00492C19"/>
    <w:rsid w:val="00492C97"/>
    <w:rsid w:val="004A20E1"/>
    <w:rsid w:val="004A71C0"/>
    <w:rsid w:val="004A7B84"/>
    <w:rsid w:val="004B37B7"/>
    <w:rsid w:val="004C05F2"/>
    <w:rsid w:val="004C270D"/>
    <w:rsid w:val="004C3D36"/>
    <w:rsid w:val="004C5937"/>
    <w:rsid w:val="004C5C25"/>
    <w:rsid w:val="004D2029"/>
    <w:rsid w:val="004D3AB2"/>
    <w:rsid w:val="004D42C7"/>
    <w:rsid w:val="004D475F"/>
    <w:rsid w:val="004D55C6"/>
    <w:rsid w:val="004D5D94"/>
    <w:rsid w:val="004D6BBB"/>
    <w:rsid w:val="004E53F5"/>
    <w:rsid w:val="004E6646"/>
    <w:rsid w:val="004E7EE2"/>
    <w:rsid w:val="004F0C36"/>
    <w:rsid w:val="004F240C"/>
    <w:rsid w:val="004F4AC0"/>
    <w:rsid w:val="004F55F0"/>
    <w:rsid w:val="005020E6"/>
    <w:rsid w:val="005025D2"/>
    <w:rsid w:val="00506340"/>
    <w:rsid w:val="00506A9C"/>
    <w:rsid w:val="005100A9"/>
    <w:rsid w:val="005144F2"/>
    <w:rsid w:val="00521554"/>
    <w:rsid w:val="00522E41"/>
    <w:rsid w:val="00523FE1"/>
    <w:rsid w:val="005310FB"/>
    <w:rsid w:val="0053455F"/>
    <w:rsid w:val="00534A0F"/>
    <w:rsid w:val="00535CB6"/>
    <w:rsid w:val="00536650"/>
    <w:rsid w:val="00551BDF"/>
    <w:rsid w:val="00555EE4"/>
    <w:rsid w:val="00557CC8"/>
    <w:rsid w:val="0057365E"/>
    <w:rsid w:val="00574F7D"/>
    <w:rsid w:val="0058121E"/>
    <w:rsid w:val="0058215C"/>
    <w:rsid w:val="0059047D"/>
    <w:rsid w:val="00591BC3"/>
    <w:rsid w:val="005A256A"/>
    <w:rsid w:val="005B280A"/>
    <w:rsid w:val="005B7CB8"/>
    <w:rsid w:val="005C143A"/>
    <w:rsid w:val="005C162B"/>
    <w:rsid w:val="005C1CEF"/>
    <w:rsid w:val="005C364B"/>
    <w:rsid w:val="005C473B"/>
    <w:rsid w:val="005D152D"/>
    <w:rsid w:val="005D1FC5"/>
    <w:rsid w:val="005D284B"/>
    <w:rsid w:val="005E1299"/>
    <w:rsid w:val="005E3014"/>
    <w:rsid w:val="005E318C"/>
    <w:rsid w:val="005E5D03"/>
    <w:rsid w:val="005F066A"/>
    <w:rsid w:val="005F1509"/>
    <w:rsid w:val="005F24EA"/>
    <w:rsid w:val="005F378A"/>
    <w:rsid w:val="005F546B"/>
    <w:rsid w:val="005F5A5A"/>
    <w:rsid w:val="005F60C4"/>
    <w:rsid w:val="005F6ACA"/>
    <w:rsid w:val="005F6CF9"/>
    <w:rsid w:val="00601DFD"/>
    <w:rsid w:val="0060454B"/>
    <w:rsid w:val="006055D5"/>
    <w:rsid w:val="006057C1"/>
    <w:rsid w:val="0060643A"/>
    <w:rsid w:val="00606E58"/>
    <w:rsid w:val="00610395"/>
    <w:rsid w:val="006133F3"/>
    <w:rsid w:val="00615002"/>
    <w:rsid w:val="0061533C"/>
    <w:rsid w:val="0061633C"/>
    <w:rsid w:val="00617C05"/>
    <w:rsid w:val="00620637"/>
    <w:rsid w:val="00627983"/>
    <w:rsid w:val="00627E56"/>
    <w:rsid w:val="00630AC1"/>
    <w:rsid w:val="0063249E"/>
    <w:rsid w:val="00632610"/>
    <w:rsid w:val="00635032"/>
    <w:rsid w:val="006360B2"/>
    <w:rsid w:val="0063672E"/>
    <w:rsid w:val="0064522F"/>
    <w:rsid w:val="006453C0"/>
    <w:rsid w:val="00645513"/>
    <w:rsid w:val="00647129"/>
    <w:rsid w:val="00654334"/>
    <w:rsid w:val="006547A8"/>
    <w:rsid w:val="00660ED4"/>
    <w:rsid w:val="0066189B"/>
    <w:rsid w:val="006622C5"/>
    <w:rsid w:val="00663131"/>
    <w:rsid w:val="006640BC"/>
    <w:rsid w:val="00670371"/>
    <w:rsid w:val="00672EAA"/>
    <w:rsid w:val="00676D20"/>
    <w:rsid w:val="006806A7"/>
    <w:rsid w:val="0069320A"/>
    <w:rsid w:val="006A07DB"/>
    <w:rsid w:val="006A0BA5"/>
    <w:rsid w:val="006A21AC"/>
    <w:rsid w:val="006A2D59"/>
    <w:rsid w:val="006A3CF6"/>
    <w:rsid w:val="006A65F6"/>
    <w:rsid w:val="006B199B"/>
    <w:rsid w:val="006B3F5B"/>
    <w:rsid w:val="006B45DD"/>
    <w:rsid w:val="006B50EE"/>
    <w:rsid w:val="006B6974"/>
    <w:rsid w:val="006C04F7"/>
    <w:rsid w:val="006C56F3"/>
    <w:rsid w:val="006C6977"/>
    <w:rsid w:val="006C705B"/>
    <w:rsid w:val="006C7661"/>
    <w:rsid w:val="006D01E8"/>
    <w:rsid w:val="006D25EE"/>
    <w:rsid w:val="006D5F05"/>
    <w:rsid w:val="006E15BB"/>
    <w:rsid w:val="006E46F0"/>
    <w:rsid w:val="006E62E1"/>
    <w:rsid w:val="006F2C64"/>
    <w:rsid w:val="006F35F3"/>
    <w:rsid w:val="006F5AEB"/>
    <w:rsid w:val="006F7B20"/>
    <w:rsid w:val="007013CD"/>
    <w:rsid w:val="00702822"/>
    <w:rsid w:val="007065ED"/>
    <w:rsid w:val="00711091"/>
    <w:rsid w:val="00711902"/>
    <w:rsid w:val="00713F9D"/>
    <w:rsid w:val="00714954"/>
    <w:rsid w:val="0071645B"/>
    <w:rsid w:val="00720C62"/>
    <w:rsid w:val="007267A9"/>
    <w:rsid w:val="00727730"/>
    <w:rsid w:val="0073100F"/>
    <w:rsid w:val="00734291"/>
    <w:rsid w:val="007342FB"/>
    <w:rsid w:val="00736FE7"/>
    <w:rsid w:val="00740011"/>
    <w:rsid w:val="00740CC9"/>
    <w:rsid w:val="00741782"/>
    <w:rsid w:val="007502BA"/>
    <w:rsid w:val="007555B6"/>
    <w:rsid w:val="00757AC3"/>
    <w:rsid w:val="00762E45"/>
    <w:rsid w:val="007639CA"/>
    <w:rsid w:val="00776A42"/>
    <w:rsid w:val="00781C4B"/>
    <w:rsid w:val="007827BB"/>
    <w:rsid w:val="0078731D"/>
    <w:rsid w:val="00795750"/>
    <w:rsid w:val="00797D95"/>
    <w:rsid w:val="007A02FF"/>
    <w:rsid w:val="007A0C66"/>
    <w:rsid w:val="007A0D13"/>
    <w:rsid w:val="007A7BA2"/>
    <w:rsid w:val="007B3172"/>
    <w:rsid w:val="007B3E7C"/>
    <w:rsid w:val="007B48E7"/>
    <w:rsid w:val="007B683E"/>
    <w:rsid w:val="007B7596"/>
    <w:rsid w:val="007C1CFE"/>
    <w:rsid w:val="007C3A61"/>
    <w:rsid w:val="007C7550"/>
    <w:rsid w:val="007D0A08"/>
    <w:rsid w:val="007D5E2E"/>
    <w:rsid w:val="007D655E"/>
    <w:rsid w:val="007E16DF"/>
    <w:rsid w:val="007E2DC4"/>
    <w:rsid w:val="007E2F97"/>
    <w:rsid w:val="007E4686"/>
    <w:rsid w:val="007E54F5"/>
    <w:rsid w:val="007E59A2"/>
    <w:rsid w:val="007E5FE3"/>
    <w:rsid w:val="007E6F36"/>
    <w:rsid w:val="007F3110"/>
    <w:rsid w:val="007F4D7B"/>
    <w:rsid w:val="007F5F5A"/>
    <w:rsid w:val="00800BC6"/>
    <w:rsid w:val="00801AF1"/>
    <w:rsid w:val="00806B42"/>
    <w:rsid w:val="00816FE8"/>
    <w:rsid w:val="00821A9F"/>
    <w:rsid w:val="008221CB"/>
    <w:rsid w:val="008246AB"/>
    <w:rsid w:val="00824A6D"/>
    <w:rsid w:val="00825DBA"/>
    <w:rsid w:val="00825ECC"/>
    <w:rsid w:val="00842833"/>
    <w:rsid w:val="00844D5E"/>
    <w:rsid w:val="008459B4"/>
    <w:rsid w:val="008468D1"/>
    <w:rsid w:val="00847455"/>
    <w:rsid w:val="0085174E"/>
    <w:rsid w:val="00852651"/>
    <w:rsid w:val="0085507E"/>
    <w:rsid w:val="00855146"/>
    <w:rsid w:val="0086115E"/>
    <w:rsid w:val="00866A77"/>
    <w:rsid w:val="008674B7"/>
    <w:rsid w:val="00867BEE"/>
    <w:rsid w:val="008733FA"/>
    <w:rsid w:val="00876E82"/>
    <w:rsid w:val="00881E15"/>
    <w:rsid w:val="00883EDE"/>
    <w:rsid w:val="00892708"/>
    <w:rsid w:val="00893126"/>
    <w:rsid w:val="00894777"/>
    <w:rsid w:val="00897C2C"/>
    <w:rsid w:val="00897C6E"/>
    <w:rsid w:val="008A3904"/>
    <w:rsid w:val="008A65E8"/>
    <w:rsid w:val="008B28A7"/>
    <w:rsid w:val="008B3A96"/>
    <w:rsid w:val="008B490C"/>
    <w:rsid w:val="008B688D"/>
    <w:rsid w:val="008B746E"/>
    <w:rsid w:val="008C3E27"/>
    <w:rsid w:val="008C4BEE"/>
    <w:rsid w:val="008C66E2"/>
    <w:rsid w:val="008C6910"/>
    <w:rsid w:val="008D2F74"/>
    <w:rsid w:val="008D43FA"/>
    <w:rsid w:val="008E539D"/>
    <w:rsid w:val="008E63B5"/>
    <w:rsid w:val="008E754B"/>
    <w:rsid w:val="008F1B69"/>
    <w:rsid w:val="008F2CBE"/>
    <w:rsid w:val="008F5459"/>
    <w:rsid w:val="008F7362"/>
    <w:rsid w:val="008F76DC"/>
    <w:rsid w:val="0090411C"/>
    <w:rsid w:val="009151AE"/>
    <w:rsid w:val="00917E97"/>
    <w:rsid w:val="00925FE0"/>
    <w:rsid w:val="00927120"/>
    <w:rsid w:val="00927F5F"/>
    <w:rsid w:val="00937CFD"/>
    <w:rsid w:val="00941265"/>
    <w:rsid w:val="009447C4"/>
    <w:rsid w:val="00945C47"/>
    <w:rsid w:val="009504A4"/>
    <w:rsid w:val="009514A2"/>
    <w:rsid w:val="00951E14"/>
    <w:rsid w:val="00952B22"/>
    <w:rsid w:val="00953653"/>
    <w:rsid w:val="00954F25"/>
    <w:rsid w:val="00957E80"/>
    <w:rsid w:val="009601AD"/>
    <w:rsid w:val="0096076A"/>
    <w:rsid w:val="00961A43"/>
    <w:rsid w:val="009638B9"/>
    <w:rsid w:val="00963C8B"/>
    <w:rsid w:val="0096520A"/>
    <w:rsid w:val="00966DA9"/>
    <w:rsid w:val="009700ED"/>
    <w:rsid w:val="009715CE"/>
    <w:rsid w:val="009729FA"/>
    <w:rsid w:val="009740AB"/>
    <w:rsid w:val="00974B0E"/>
    <w:rsid w:val="00974EF2"/>
    <w:rsid w:val="00983A83"/>
    <w:rsid w:val="00987BCC"/>
    <w:rsid w:val="00992252"/>
    <w:rsid w:val="00994002"/>
    <w:rsid w:val="009A3DEB"/>
    <w:rsid w:val="009A4387"/>
    <w:rsid w:val="009B4554"/>
    <w:rsid w:val="009B73A2"/>
    <w:rsid w:val="009B7790"/>
    <w:rsid w:val="009B79F4"/>
    <w:rsid w:val="009C00D9"/>
    <w:rsid w:val="009C0900"/>
    <w:rsid w:val="009C1111"/>
    <w:rsid w:val="009C26E3"/>
    <w:rsid w:val="009C6AAE"/>
    <w:rsid w:val="009D0365"/>
    <w:rsid w:val="009D3282"/>
    <w:rsid w:val="009D33AB"/>
    <w:rsid w:val="009D57E2"/>
    <w:rsid w:val="009D6476"/>
    <w:rsid w:val="009D6B5A"/>
    <w:rsid w:val="009D7022"/>
    <w:rsid w:val="009E00E4"/>
    <w:rsid w:val="009E4438"/>
    <w:rsid w:val="009E7AC2"/>
    <w:rsid w:val="009F2A50"/>
    <w:rsid w:val="009F6C9C"/>
    <w:rsid w:val="009F76E8"/>
    <w:rsid w:val="00A04ED9"/>
    <w:rsid w:val="00A052F4"/>
    <w:rsid w:val="00A05937"/>
    <w:rsid w:val="00A0617C"/>
    <w:rsid w:val="00A061D6"/>
    <w:rsid w:val="00A07CC7"/>
    <w:rsid w:val="00A10F85"/>
    <w:rsid w:val="00A11282"/>
    <w:rsid w:val="00A13DD1"/>
    <w:rsid w:val="00A1417F"/>
    <w:rsid w:val="00A14EEF"/>
    <w:rsid w:val="00A16639"/>
    <w:rsid w:val="00A21985"/>
    <w:rsid w:val="00A24A6A"/>
    <w:rsid w:val="00A264D8"/>
    <w:rsid w:val="00A3012B"/>
    <w:rsid w:val="00A309F0"/>
    <w:rsid w:val="00A312AB"/>
    <w:rsid w:val="00A32C0C"/>
    <w:rsid w:val="00A33BD7"/>
    <w:rsid w:val="00A35057"/>
    <w:rsid w:val="00A36562"/>
    <w:rsid w:val="00A409E2"/>
    <w:rsid w:val="00A40BBD"/>
    <w:rsid w:val="00A44FDE"/>
    <w:rsid w:val="00A452D1"/>
    <w:rsid w:val="00A46EFF"/>
    <w:rsid w:val="00A5139E"/>
    <w:rsid w:val="00A51474"/>
    <w:rsid w:val="00A5176F"/>
    <w:rsid w:val="00A54B51"/>
    <w:rsid w:val="00A610C5"/>
    <w:rsid w:val="00A61A9E"/>
    <w:rsid w:val="00A64BBC"/>
    <w:rsid w:val="00A65145"/>
    <w:rsid w:val="00A659A6"/>
    <w:rsid w:val="00A65F6F"/>
    <w:rsid w:val="00A72E18"/>
    <w:rsid w:val="00A7343A"/>
    <w:rsid w:val="00A74D8B"/>
    <w:rsid w:val="00A76AE3"/>
    <w:rsid w:val="00A832E4"/>
    <w:rsid w:val="00A8377E"/>
    <w:rsid w:val="00A83F6B"/>
    <w:rsid w:val="00A86DCD"/>
    <w:rsid w:val="00A87971"/>
    <w:rsid w:val="00A87994"/>
    <w:rsid w:val="00A907CE"/>
    <w:rsid w:val="00A9290B"/>
    <w:rsid w:val="00A93B17"/>
    <w:rsid w:val="00A9445E"/>
    <w:rsid w:val="00A94E4E"/>
    <w:rsid w:val="00A95871"/>
    <w:rsid w:val="00A96E2A"/>
    <w:rsid w:val="00AA0855"/>
    <w:rsid w:val="00AA1053"/>
    <w:rsid w:val="00AA3A2F"/>
    <w:rsid w:val="00AA3CE5"/>
    <w:rsid w:val="00AA51D3"/>
    <w:rsid w:val="00AA5A56"/>
    <w:rsid w:val="00AA5EF8"/>
    <w:rsid w:val="00AA7414"/>
    <w:rsid w:val="00AB1313"/>
    <w:rsid w:val="00AB6298"/>
    <w:rsid w:val="00AB65DF"/>
    <w:rsid w:val="00AB7F68"/>
    <w:rsid w:val="00AC27A9"/>
    <w:rsid w:val="00AC37E3"/>
    <w:rsid w:val="00AD0DAB"/>
    <w:rsid w:val="00AD3941"/>
    <w:rsid w:val="00AE0B9E"/>
    <w:rsid w:val="00AF54BD"/>
    <w:rsid w:val="00AF5826"/>
    <w:rsid w:val="00B009AE"/>
    <w:rsid w:val="00B01274"/>
    <w:rsid w:val="00B113A2"/>
    <w:rsid w:val="00B1187F"/>
    <w:rsid w:val="00B14478"/>
    <w:rsid w:val="00B20EF4"/>
    <w:rsid w:val="00B24129"/>
    <w:rsid w:val="00B25080"/>
    <w:rsid w:val="00B30695"/>
    <w:rsid w:val="00B31945"/>
    <w:rsid w:val="00B33A7A"/>
    <w:rsid w:val="00B340D1"/>
    <w:rsid w:val="00B44C1F"/>
    <w:rsid w:val="00B507E6"/>
    <w:rsid w:val="00B50C76"/>
    <w:rsid w:val="00B705FB"/>
    <w:rsid w:val="00B70DAA"/>
    <w:rsid w:val="00B71A62"/>
    <w:rsid w:val="00B73702"/>
    <w:rsid w:val="00B7561F"/>
    <w:rsid w:val="00B817DB"/>
    <w:rsid w:val="00B876F1"/>
    <w:rsid w:val="00B87CE8"/>
    <w:rsid w:val="00B92A08"/>
    <w:rsid w:val="00B92CED"/>
    <w:rsid w:val="00B96167"/>
    <w:rsid w:val="00B96870"/>
    <w:rsid w:val="00B975E7"/>
    <w:rsid w:val="00B97CC0"/>
    <w:rsid w:val="00BA28EC"/>
    <w:rsid w:val="00BA3FAB"/>
    <w:rsid w:val="00BA4778"/>
    <w:rsid w:val="00BA5FB1"/>
    <w:rsid w:val="00BA7C15"/>
    <w:rsid w:val="00BB69E3"/>
    <w:rsid w:val="00BC48FC"/>
    <w:rsid w:val="00BC497D"/>
    <w:rsid w:val="00BC7F7E"/>
    <w:rsid w:val="00BD1DB3"/>
    <w:rsid w:val="00BD27FD"/>
    <w:rsid w:val="00BD3168"/>
    <w:rsid w:val="00BD388A"/>
    <w:rsid w:val="00BD44C6"/>
    <w:rsid w:val="00BD65C8"/>
    <w:rsid w:val="00BD6D84"/>
    <w:rsid w:val="00BE5A27"/>
    <w:rsid w:val="00BF54FF"/>
    <w:rsid w:val="00BF72AB"/>
    <w:rsid w:val="00C00CF2"/>
    <w:rsid w:val="00C03BA1"/>
    <w:rsid w:val="00C107E3"/>
    <w:rsid w:val="00C12449"/>
    <w:rsid w:val="00C12A49"/>
    <w:rsid w:val="00C267E1"/>
    <w:rsid w:val="00C305FD"/>
    <w:rsid w:val="00C3094C"/>
    <w:rsid w:val="00C337D2"/>
    <w:rsid w:val="00C41D93"/>
    <w:rsid w:val="00C42C15"/>
    <w:rsid w:val="00C44D9A"/>
    <w:rsid w:val="00C4602C"/>
    <w:rsid w:val="00C474E8"/>
    <w:rsid w:val="00C56FC4"/>
    <w:rsid w:val="00C6012C"/>
    <w:rsid w:val="00C64302"/>
    <w:rsid w:val="00C6729F"/>
    <w:rsid w:val="00C70FB9"/>
    <w:rsid w:val="00C73481"/>
    <w:rsid w:val="00C75069"/>
    <w:rsid w:val="00C81258"/>
    <w:rsid w:val="00C820D6"/>
    <w:rsid w:val="00C8639C"/>
    <w:rsid w:val="00C86BA1"/>
    <w:rsid w:val="00C901C5"/>
    <w:rsid w:val="00C93AC2"/>
    <w:rsid w:val="00C947CE"/>
    <w:rsid w:val="00C94898"/>
    <w:rsid w:val="00C94AE3"/>
    <w:rsid w:val="00C95AC3"/>
    <w:rsid w:val="00CA10F6"/>
    <w:rsid w:val="00CA65CB"/>
    <w:rsid w:val="00CA71C8"/>
    <w:rsid w:val="00CB00B8"/>
    <w:rsid w:val="00CB67DC"/>
    <w:rsid w:val="00CB79FA"/>
    <w:rsid w:val="00CC1DA2"/>
    <w:rsid w:val="00CC58AF"/>
    <w:rsid w:val="00CC67F2"/>
    <w:rsid w:val="00CD07B0"/>
    <w:rsid w:val="00CD31B6"/>
    <w:rsid w:val="00CD4ACD"/>
    <w:rsid w:val="00CD5402"/>
    <w:rsid w:val="00CD6814"/>
    <w:rsid w:val="00CD799C"/>
    <w:rsid w:val="00CD7D40"/>
    <w:rsid w:val="00CE0004"/>
    <w:rsid w:val="00CE0153"/>
    <w:rsid w:val="00CE1E63"/>
    <w:rsid w:val="00CE7517"/>
    <w:rsid w:val="00CE7A6F"/>
    <w:rsid w:val="00CF0AEF"/>
    <w:rsid w:val="00CF0FB3"/>
    <w:rsid w:val="00CF2F50"/>
    <w:rsid w:val="00CF5437"/>
    <w:rsid w:val="00CF71C0"/>
    <w:rsid w:val="00D0188E"/>
    <w:rsid w:val="00D02102"/>
    <w:rsid w:val="00D028D2"/>
    <w:rsid w:val="00D05CE8"/>
    <w:rsid w:val="00D10D20"/>
    <w:rsid w:val="00D1275A"/>
    <w:rsid w:val="00D17F34"/>
    <w:rsid w:val="00D259A7"/>
    <w:rsid w:val="00D25B5D"/>
    <w:rsid w:val="00D2732C"/>
    <w:rsid w:val="00D2745C"/>
    <w:rsid w:val="00D27E93"/>
    <w:rsid w:val="00D33D88"/>
    <w:rsid w:val="00D40663"/>
    <w:rsid w:val="00D407B6"/>
    <w:rsid w:val="00D44047"/>
    <w:rsid w:val="00D44D92"/>
    <w:rsid w:val="00D50F2F"/>
    <w:rsid w:val="00D51ED9"/>
    <w:rsid w:val="00D52A12"/>
    <w:rsid w:val="00D5424A"/>
    <w:rsid w:val="00D61FD7"/>
    <w:rsid w:val="00D63969"/>
    <w:rsid w:val="00D67481"/>
    <w:rsid w:val="00D7358A"/>
    <w:rsid w:val="00D74BCA"/>
    <w:rsid w:val="00D75A60"/>
    <w:rsid w:val="00D75B3C"/>
    <w:rsid w:val="00D76549"/>
    <w:rsid w:val="00D814C3"/>
    <w:rsid w:val="00D850EF"/>
    <w:rsid w:val="00D85A06"/>
    <w:rsid w:val="00D92AFF"/>
    <w:rsid w:val="00D93544"/>
    <w:rsid w:val="00D95644"/>
    <w:rsid w:val="00D96F7F"/>
    <w:rsid w:val="00DA226F"/>
    <w:rsid w:val="00DA3000"/>
    <w:rsid w:val="00DA3C0D"/>
    <w:rsid w:val="00DA3E0B"/>
    <w:rsid w:val="00DB2EEC"/>
    <w:rsid w:val="00DB52B8"/>
    <w:rsid w:val="00DB6E41"/>
    <w:rsid w:val="00DB7DD5"/>
    <w:rsid w:val="00DC13DE"/>
    <w:rsid w:val="00DC35A3"/>
    <w:rsid w:val="00DD16AE"/>
    <w:rsid w:val="00DD1BDA"/>
    <w:rsid w:val="00DD399C"/>
    <w:rsid w:val="00DD5389"/>
    <w:rsid w:val="00DD6B31"/>
    <w:rsid w:val="00DD6D36"/>
    <w:rsid w:val="00DD76D5"/>
    <w:rsid w:val="00DE04BA"/>
    <w:rsid w:val="00DE5F17"/>
    <w:rsid w:val="00DF3EA4"/>
    <w:rsid w:val="00DF4570"/>
    <w:rsid w:val="00DF6852"/>
    <w:rsid w:val="00DF7156"/>
    <w:rsid w:val="00E027B8"/>
    <w:rsid w:val="00E05E86"/>
    <w:rsid w:val="00E063BF"/>
    <w:rsid w:val="00E07910"/>
    <w:rsid w:val="00E12E85"/>
    <w:rsid w:val="00E153ED"/>
    <w:rsid w:val="00E161C5"/>
    <w:rsid w:val="00E20FE5"/>
    <w:rsid w:val="00E21143"/>
    <w:rsid w:val="00E2425C"/>
    <w:rsid w:val="00E26665"/>
    <w:rsid w:val="00E301FD"/>
    <w:rsid w:val="00E32BAE"/>
    <w:rsid w:val="00E3564E"/>
    <w:rsid w:val="00E378AB"/>
    <w:rsid w:val="00E41516"/>
    <w:rsid w:val="00E42F66"/>
    <w:rsid w:val="00E46434"/>
    <w:rsid w:val="00E46691"/>
    <w:rsid w:val="00E50164"/>
    <w:rsid w:val="00E52623"/>
    <w:rsid w:val="00E56A06"/>
    <w:rsid w:val="00E57122"/>
    <w:rsid w:val="00E62F31"/>
    <w:rsid w:val="00E662F3"/>
    <w:rsid w:val="00E66FF9"/>
    <w:rsid w:val="00E70BFF"/>
    <w:rsid w:val="00E72850"/>
    <w:rsid w:val="00E80A67"/>
    <w:rsid w:val="00E83785"/>
    <w:rsid w:val="00E87461"/>
    <w:rsid w:val="00E87894"/>
    <w:rsid w:val="00E93FE9"/>
    <w:rsid w:val="00E97C66"/>
    <w:rsid w:val="00EA54FD"/>
    <w:rsid w:val="00EB0598"/>
    <w:rsid w:val="00EB05C7"/>
    <w:rsid w:val="00EB2071"/>
    <w:rsid w:val="00EB270B"/>
    <w:rsid w:val="00EC141F"/>
    <w:rsid w:val="00EC2804"/>
    <w:rsid w:val="00EC49D4"/>
    <w:rsid w:val="00EC6BB4"/>
    <w:rsid w:val="00EC78C2"/>
    <w:rsid w:val="00ED11CA"/>
    <w:rsid w:val="00ED1387"/>
    <w:rsid w:val="00ED57B4"/>
    <w:rsid w:val="00EE1760"/>
    <w:rsid w:val="00EE19A8"/>
    <w:rsid w:val="00EE21F7"/>
    <w:rsid w:val="00EE3F21"/>
    <w:rsid w:val="00EE55DA"/>
    <w:rsid w:val="00EE57E1"/>
    <w:rsid w:val="00EF11B9"/>
    <w:rsid w:val="00F012E3"/>
    <w:rsid w:val="00F03D92"/>
    <w:rsid w:val="00F04766"/>
    <w:rsid w:val="00F12A0D"/>
    <w:rsid w:val="00F147E4"/>
    <w:rsid w:val="00F240CB"/>
    <w:rsid w:val="00F24F8E"/>
    <w:rsid w:val="00F267B9"/>
    <w:rsid w:val="00F27CA6"/>
    <w:rsid w:val="00F30B93"/>
    <w:rsid w:val="00F323F0"/>
    <w:rsid w:val="00F36B6E"/>
    <w:rsid w:val="00F4086D"/>
    <w:rsid w:val="00F411A8"/>
    <w:rsid w:val="00F41400"/>
    <w:rsid w:val="00F4269F"/>
    <w:rsid w:val="00F427E4"/>
    <w:rsid w:val="00F4522E"/>
    <w:rsid w:val="00F45646"/>
    <w:rsid w:val="00F45CA7"/>
    <w:rsid w:val="00F4605B"/>
    <w:rsid w:val="00F47C49"/>
    <w:rsid w:val="00F50E99"/>
    <w:rsid w:val="00F54304"/>
    <w:rsid w:val="00F55886"/>
    <w:rsid w:val="00F60687"/>
    <w:rsid w:val="00F673CC"/>
    <w:rsid w:val="00F70A6A"/>
    <w:rsid w:val="00F73F9C"/>
    <w:rsid w:val="00F74FF6"/>
    <w:rsid w:val="00F75C0B"/>
    <w:rsid w:val="00F76E26"/>
    <w:rsid w:val="00F8441C"/>
    <w:rsid w:val="00F84BBB"/>
    <w:rsid w:val="00F91360"/>
    <w:rsid w:val="00F921B6"/>
    <w:rsid w:val="00F953B9"/>
    <w:rsid w:val="00F9600B"/>
    <w:rsid w:val="00FA0724"/>
    <w:rsid w:val="00FA1421"/>
    <w:rsid w:val="00FA19E7"/>
    <w:rsid w:val="00FB583B"/>
    <w:rsid w:val="00FC0FE7"/>
    <w:rsid w:val="00FD05F7"/>
    <w:rsid w:val="00FD1405"/>
    <w:rsid w:val="00FD3653"/>
    <w:rsid w:val="00FD4845"/>
    <w:rsid w:val="00FD5EAC"/>
    <w:rsid w:val="00FD7601"/>
    <w:rsid w:val="00FE03B8"/>
    <w:rsid w:val="00FE509F"/>
    <w:rsid w:val="00FE5736"/>
    <w:rsid w:val="00F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506C3"/>
  <w14:defaultImageDpi w14:val="32767"/>
  <w15:chartTrackingRefBased/>
  <w15:docId w15:val="{BD41CCE9-6B04-473F-847C-9BF95614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pPr>
      <w:spacing w:after="120"/>
      <w:ind w:right="994"/>
    </w:pPr>
    <w:rPr>
      <w:rFonts w:eastAsiaTheme="minorEastAsia"/>
      <w:color w:val="00B050"/>
      <w:sz w:val="18"/>
    </w:rPr>
  </w:style>
  <w:style w:type="paragraph" w:styleId="Heading1">
    <w:name w:val="heading 1"/>
    <w:next w:val="Bodycopy"/>
    <w:link w:val="Heading1Char"/>
    <w:uiPriority w:val="7"/>
    <w:qFormat/>
    <w:pPr>
      <w:keepNext/>
      <w:spacing w:before="480" w:after="240"/>
      <w:outlineLvl w:val="0"/>
    </w:pPr>
    <w:rPr>
      <w:rFonts w:asciiTheme="majorHAnsi" w:eastAsiaTheme="majorEastAsia" w:hAnsiTheme="majorHAnsi" w:cstheme="majorBidi"/>
      <w:b/>
      <w:color w:val="79BDE8" w:themeColor="background2"/>
      <w:sz w:val="28"/>
      <w:szCs w:val="32"/>
    </w:rPr>
  </w:style>
  <w:style w:type="paragraph" w:styleId="Heading2">
    <w:name w:val="heading 2"/>
    <w:next w:val="Bodycopy"/>
    <w:link w:val="Heading2Char"/>
    <w:uiPriority w:val="7"/>
    <w:qFormat/>
    <w:pPr>
      <w:keepNext/>
      <w:keepLines/>
      <w:spacing w:before="240" w:after="120"/>
      <w:outlineLvl w:val="1"/>
    </w:pPr>
    <w:rPr>
      <w:rFonts w:asciiTheme="majorHAnsi" w:eastAsiaTheme="majorEastAsia" w:hAnsiTheme="majorHAnsi" w:cstheme="majorBidi"/>
      <w:b/>
      <w:color w:val="000000" w:themeColor="text1"/>
      <w:szCs w:val="26"/>
    </w:rPr>
  </w:style>
  <w:style w:type="paragraph" w:styleId="Heading3">
    <w:name w:val="heading 3"/>
    <w:next w:val="Bodycopy"/>
    <w:link w:val="Heading3Char"/>
    <w:uiPriority w:val="7"/>
    <w:qFormat/>
    <w:pPr>
      <w:keepNext/>
      <w:keepLines/>
      <w:spacing w:before="240" w:after="80"/>
      <w:outlineLvl w:val="2"/>
    </w:pPr>
    <w:rPr>
      <w:rFonts w:asciiTheme="majorHAnsi" w:eastAsiaTheme="majorEastAsia" w:hAnsiTheme="majorHAnsi" w:cstheme="majorBidi"/>
      <w:b/>
      <w:color w:val="79BDE8" w:themeColor="background2"/>
      <w:sz w:val="21"/>
    </w:rPr>
  </w:style>
  <w:style w:type="paragraph" w:styleId="Heading4">
    <w:name w:val="heading 4"/>
    <w:next w:val="Bodycopy"/>
    <w:link w:val="Heading4Char"/>
    <w:uiPriority w:val="7"/>
    <w:qFormat/>
    <w:pPr>
      <w:keepNext/>
      <w:keepLines/>
      <w:spacing w:before="240" w:after="80"/>
      <w:outlineLvl w:val="3"/>
    </w:pPr>
    <w:rPr>
      <w:rFonts w:asciiTheme="majorHAnsi" w:eastAsiaTheme="majorEastAsia" w:hAnsiTheme="majorHAnsi" w:cstheme="majorBidi"/>
      <w:b/>
      <w:iCs/>
      <w:color w:val="000000"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pBdr>
        <w:top w:val="single" w:sz="4" w:space="6" w:color="000000" w:themeColor="text1"/>
      </w:pBdr>
      <w:tabs>
        <w:tab w:val="center" w:pos="4680"/>
        <w:tab w:val="right" w:pos="9360"/>
      </w:tabs>
    </w:pPr>
    <w:rPr>
      <w:rFonts w:eastAsiaTheme="minorEastAsia"/>
      <w:color w:val="000000" w:themeColor="text1"/>
      <w:sz w:val="18"/>
    </w:rPr>
  </w:style>
  <w:style w:type="character" w:customStyle="1" w:styleId="HeaderChar">
    <w:name w:val="Header Char"/>
    <w:basedOn w:val="DefaultParagraphFont"/>
    <w:link w:val="Header"/>
    <w:uiPriority w:val="99"/>
    <w:rPr>
      <w:rFonts w:eastAsiaTheme="minorEastAsia"/>
      <w:color w:val="000000" w:themeColor="text1"/>
      <w:sz w:val="18"/>
    </w:rPr>
  </w:style>
  <w:style w:type="paragraph" w:styleId="Footer">
    <w:name w:val="footer"/>
    <w:link w:val="FooterChar"/>
    <w:uiPriority w:val="99"/>
    <w:unhideWhenUsed/>
    <w:pPr>
      <w:pBdr>
        <w:top w:val="single" w:sz="4" w:space="15" w:color="000000" w:themeColor="text1"/>
      </w:pBdr>
      <w:tabs>
        <w:tab w:val="right" w:pos="10620"/>
      </w:tabs>
    </w:pPr>
    <w:rPr>
      <w:rFonts w:eastAsiaTheme="minorEastAsia"/>
      <w:color w:val="000000" w:themeColor="text1"/>
      <w:sz w:val="18"/>
    </w:rPr>
  </w:style>
  <w:style w:type="character" w:customStyle="1" w:styleId="FooterChar">
    <w:name w:val="Footer Char"/>
    <w:basedOn w:val="DefaultParagraphFont"/>
    <w:link w:val="Footer"/>
    <w:uiPriority w:val="99"/>
    <w:rPr>
      <w:rFonts w:eastAsiaTheme="minorEastAsia"/>
      <w:color w:val="000000" w:themeColor="text1"/>
      <w:sz w:val="18"/>
    </w:rPr>
  </w:style>
  <w:style w:type="character" w:customStyle="1" w:styleId="Heading1Char">
    <w:name w:val="Heading 1 Char"/>
    <w:basedOn w:val="DefaultParagraphFont"/>
    <w:link w:val="Heading1"/>
    <w:uiPriority w:val="7"/>
    <w:rPr>
      <w:rFonts w:asciiTheme="majorHAnsi" w:eastAsiaTheme="majorEastAsia" w:hAnsiTheme="majorHAnsi" w:cstheme="majorBidi"/>
      <w:b/>
      <w:color w:val="79BDE8" w:themeColor="background2"/>
      <w:sz w:val="28"/>
      <w:szCs w:val="32"/>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character" w:customStyle="1" w:styleId="Heading2Char">
    <w:name w:val="Heading 2 Char"/>
    <w:basedOn w:val="DefaultParagraphFont"/>
    <w:link w:val="Heading2"/>
    <w:uiPriority w:val="7"/>
    <w:rPr>
      <w:rFonts w:asciiTheme="majorHAnsi" w:eastAsiaTheme="majorEastAsia" w:hAnsiTheme="majorHAnsi" w:cstheme="majorBidi"/>
      <w:b/>
      <w:color w:val="000000" w:themeColor="text1"/>
      <w:szCs w:val="26"/>
    </w:r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79BDE8" w:themeColor="background2"/>
      <w:sz w:val="21"/>
    </w:rPr>
  </w:style>
  <w:style w:type="table" w:styleId="TableGrid">
    <w:name w:val="Table Grid"/>
    <w:basedOn w:val="TableNormal"/>
    <w:uiPriority w:val="59"/>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uiPriority w:val="8"/>
    <w:qFormat/>
    <w:pPr>
      <w:spacing w:after="120"/>
    </w:pPr>
    <w:rPr>
      <w:rFonts w:eastAsia="Calibri" w:cs="Times New Roman"/>
      <w:color w:val="000000" w:themeColor="text1"/>
      <w:sz w:val="18"/>
      <w:szCs w:val="18"/>
    </w:rPr>
  </w:style>
  <w:style w:type="paragraph" w:customStyle="1" w:styleId="Tablegraphintrocopy">
    <w:name w:val="Table/graph intro copy"/>
    <w:basedOn w:val="Tablecopy"/>
    <w:uiPriority w:val="13"/>
    <w:qFormat/>
    <w:pPr>
      <w:spacing w:before="120" w:after="120"/>
    </w:pPr>
    <w:rPr>
      <w:rFonts w:eastAsia="Times New Roman"/>
      <w:sz w:val="16"/>
      <w:szCs w:val="20"/>
    </w:rPr>
  </w:style>
  <w:style w:type="paragraph" w:customStyle="1" w:styleId="Introcopy">
    <w:name w:val="Intro copy"/>
    <w:next w:val="Bodycopy"/>
    <w:uiPriority w:val="6"/>
    <w:qFormat/>
    <w:rsid w:val="007B683E"/>
    <w:pPr>
      <w:spacing w:after="240"/>
    </w:pPr>
    <w:rPr>
      <w:rFonts w:eastAsia="Calibri" w:cs="Times New Roman"/>
      <w:color w:val="000000" w:themeColor="text1"/>
      <w:szCs w:val="18"/>
    </w:rPr>
  </w:style>
  <w:style w:type="paragraph" w:customStyle="1" w:styleId="Authorinfo">
    <w:name w:val="Author info"/>
    <w:uiPriority w:val="5"/>
    <w:pPr>
      <w:spacing w:after="120"/>
    </w:pPr>
    <w:rPr>
      <w:rFonts w:eastAsia="Times New Roman" w:cs="Times New Roman"/>
      <w:color w:val="000000" w:themeColor="text1"/>
      <w:sz w:val="18"/>
      <w:szCs w:val="20"/>
    </w:rPr>
  </w:style>
  <w:style w:type="paragraph" w:styleId="TOCHeading">
    <w:name w:val="TOC Heading"/>
    <w:next w:val="Normal"/>
    <w:uiPriority w:val="39"/>
    <w:semiHidden/>
    <w:pPr>
      <w:keepLines/>
      <w:spacing w:before="240"/>
      <w:ind w:right="994"/>
    </w:pPr>
    <w:rPr>
      <w:rFonts w:asciiTheme="majorHAnsi" w:eastAsiaTheme="majorEastAsia" w:hAnsiTheme="majorHAnsi" w:cstheme="majorBidi"/>
      <w:color w:val="C65C09" w:themeColor="accent1" w:themeShade="BF"/>
      <w:sz w:val="32"/>
      <w:szCs w:val="32"/>
    </w:rPr>
  </w:style>
  <w:style w:type="table" w:customStyle="1" w:styleId="RPtable1">
    <w:name w:val="RP table1"/>
    <w:basedOn w:val="TableNormal"/>
    <w:uiPriority w:val="99"/>
    <w:rPr>
      <w:color w:val="000000" w:themeColor="text1"/>
      <w:sz w:val="14"/>
    </w:rPr>
    <w:tblPr>
      <w:tblBorders>
        <w:top w:val="single" w:sz="2" w:space="0" w:color="000000" w:themeColor="text1"/>
        <w:bottom w:val="single" w:sz="2" w:space="0" w:color="000000" w:themeColor="text1"/>
        <w:insideH w:val="single" w:sz="2" w:space="0" w:color="000000" w:themeColor="text1"/>
      </w:tblBorders>
      <w:tblCellMar>
        <w:top w:w="40" w:type="dxa"/>
        <w:left w:w="0" w:type="dxa"/>
        <w:bottom w:w="40" w:type="dxa"/>
        <w:right w:w="115" w:type="dxa"/>
      </w:tblCellMar>
    </w:tblPr>
    <w:trPr>
      <w:cantSplit/>
    </w:trPr>
    <w:tblStylePr w:type="firstRow">
      <w:rPr>
        <w:b/>
        <w:i w:val="0"/>
        <w:caps/>
        <w:smallCaps w:val="0"/>
        <w:strike w:val="0"/>
        <w:dstrike w:val="0"/>
        <w:vanish w:val="0"/>
        <w:vertAlign w:val="baseline"/>
      </w:rPr>
      <w:tblPr/>
      <w:tcPr>
        <w:tcBorders>
          <w:top w:val="single" w:sz="36" w:space="0" w:color="000000" w:themeColor="text1"/>
          <w:left w:val="nil"/>
          <w:bottom w:val="single" w:sz="36" w:space="0" w:color="000000" w:themeColor="text1"/>
          <w:right w:val="nil"/>
          <w:insideH w:val="nil"/>
          <w:insideV w:val="nil"/>
          <w:tl2br w:val="nil"/>
          <w:tr2bl w:val="nil"/>
        </w:tcBorders>
        <w:shd w:val="clear" w:color="auto" w:fill="DEDFDF" w:themeFill="text2" w:themeFillTint="33"/>
      </w:tcPr>
    </w:tblStylePr>
    <w:tblStylePr w:type="lastRow">
      <w:rPr>
        <w:b/>
      </w:rPr>
      <w:tblPr/>
      <w:tcPr>
        <w:tcBorders>
          <w:top w:val="single" w:sz="12" w:space="0" w:color="000000" w:themeColor="text1"/>
          <w:left w:val="nil"/>
          <w:bottom w:val="single" w:sz="12" w:space="0" w:color="000000" w:themeColor="text1"/>
          <w:right w:val="nil"/>
          <w:insideH w:val="nil"/>
          <w:insideV w:val="nil"/>
          <w:tl2br w:val="nil"/>
          <w:tr2bl w:val="nil"/>
        </w:tcBorders>
        <w:shd w:val="clear" w:color="auto" w:fill="F2F2F2" w:themeFill="background1" w:themeFillShade="F2"/>
      </w:tcPr>
    </w:tblStylePr>
    <w:tblStylePr w:type="firstCol">
      <w:rPr>
        <w:b/>
      </w:rPr>
    </w:tblStylePr>
  </w:style>
  <w:style w:type="paragraph" w:customStyle="1" w:styleId="Tablegraphtitle">
    <w:name w:val="Table/graph title"/>
    <w:next w:val="Tablegraphintrocopy"/>
    <w:uiPriority w:val="12"/>
    <w:qFormat/>
    <w:pPr>
      <w:keepNext/>
      <w:tabs>
        <w:tab w:val="left" w:pos="288"/>
      </w:tabs>
      <w:spacing w:before="480"/>
    </w:pPr>
    <w:rPr>
      <w:rFonts w:eastAsia="Times New Roman" w:cs="Times New Roman"/>
      <w:b/>
      <w:bCs/>
      <w:color w:val="79BDE8" w:themeColor="background2"/>
      <w:sz w:val="20"/>
      <w:szCs w:val="20"/>
    </w:rPr>
  </w:style>
  <w:style w:type="paragraph" w:customStyle="1" w:styleId="Tablegraphsource">
    <w:name w:val="Table/graph source"/>
    <w:basedOn w:val="Tablecopy"/>
    <w:next w:val="Bodycopy"/>
    <w:uiPriority w:val="15"/>
    <w:qFormat/>
    <w:pPr>
      <w:keepNext w:val="0"/>
      <w:spacing w:before="120" w:after="240"/>
    </w:pPr>
  </w:style>
  <w:style w:type="paragraph" w:customStyle="1" w:styleId="TablegraphNOSOURCE">
    <w:name w:val="Table/graph NO SOURCE"/>
    <w:basedOn w:val="Tablegraphsource"/>
    <w:next w:val="Bodycopy"/>
    <w:uiPriority w:val="16"/>
    <w:qFormat/>
    <w:pPr>
      <w:spacing w:before="0" w:after="120"/>
    </w:pPr>
    <w:rPr>
      <w:rFonts w:eastAsia="Times New Roman"/>
      <w:szCs w:val="20"/>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ntedtablecopy">
    <w:name w:val="Tinted table copy"/>
    <w:uiPriority w:val="11"/>
    <w:pPr>
      <w:keepNext/>
      <w:spacing w:after="120"/>
    </w:pPr>
    <w:rPr>
      <w:rFonts w:eastAsia="Calibri" w:cs="Times New Roman"/>
      <w:color w:val="000000" w:themeColor="text1"/>
      <w:szCs w:val="18"/>
    </w:rPr>
  </w:style>
  <w:style w:type="paragraph" w:customStyle="1" w:styleId="Coverfooter">
    <w:name w:val="Cover footer"/>
    <w:uiPriority w:val="19"/>
    <w:pPr>
      <w:tabs>
        <w:tab w:val="right" w:pos="10350"/>
      </w:tabs>
      <w:spacing w:after="480"/>
      <w:ind w:left="360" w:right="-2934"/>
    </w:pPr>
    <w:rPr>
      <w:rFonts w:eastAsiaTheme="minorEastAsia"/>
      <w:color w:val="FFFFFF" w:themeColor="background1"/>
      <w:sz w:val="20"/>
    </w:rPr>
  </w:style>
  <w:style w:type="paragraph" w:customStyle="1" w:styleId="Documenttype">
    <w:name w:val="Document type"/>
    <w:uiPriority w:val="2"/>
    <w:pPr>
      <w:spacing w:before="280"/>
      <w:ind w:left="1354"/>
    </w:pPr>
    <w:rPr>
      <w:rFonts w:eastAsiaTheme="minorEastAsia"/>
      <w:color w:val="FFFFFF" w:themeColor="background1"/>
      <w:sz w:val="20"/>
    </w:rPr>
  </w:style>
  <w:style w:type="character" w:customStyle="1" w:styleId="Heading4Char">
    <w:name w:val="Heading 4 Char"/>
    <w:basedOn w:val="DefaultParagraphFont"/>
    <w:link w:val="Heading4"/>
    <w:uiPriority w:val="7"/>
    <w:rPr>
      <w:rFonts w:asciiTheme="majorHAnsi" w:eastAsiaTheme="majorEastAsia" w:hAnsiTheme="majorHAnsi" w:cstheme="majorBidi"/>
      <w:b/>
      <w:iCs/>
      <w:color w:val="000000" w:themeColor="text1"/>
      <w:sz w:val="18"/>
    </w:rPr>
  </w:style>
  <w:style w:type="paragraph" w:customStyle="1" w:styleId="Calloutboxcopy">
    <w:name w:val="Callout box copy"/>
    <w:uiPriority w:val="9"/>
    <w:pPr>
      <w:keepNext/>
      <w:spacing w:before="120" w:after="120"/>
      <w:ind w:left="144" w:right="144"/>
    </w:pPr>
    <w:rPr>
      <w:rFonts w:eastAsia="Times New Roman" w:cs="Times New Roman"/>
      <w:i/>
      <w:iCs/>
      <w:color w:val="000000" w:themeColor="text1"/>
      <w:sz w:val="25"/>
      <w:szCs w:val="20"/>
    </w:rPr>
  </w:style>
  <w:style w:type="paragraph" w:customStyle="1" w:styleId="Heading1NOspacebefore">
    <w:name w:val="Heading 1 NO space before"/>
    <w:basedOn w:val="Heading1"/>
    <w:next w:val="Bodycopy"/>
    <w:uiPriority w:val="7"/>
    <w:qFormat/>
    <w:pPr>
      <w:spacing w:before="0"/>
    </w:pPr>
    <w:rPr>
      <w:rFonts w:eastAsia="Times New Roman" w:cs="Times New Roman"/>
      <w:szCs w:val="20"/>
    </w:rPr>
  </w:style>
  <w:style w:type="paragraph" w:customStyle="1" w:styleId="Docsubtitle">
    <w:name w:val="Doc subtitle"/>
    <w:next w:val="Documenttype"/>
    <w:uiPriority w:val="1"/>
    <w:pPr>
      <w:spacing w:after="320"/>
      <w:ind w:left="1354"/>
    </w:pPr>
    <w:rPr>
      <w:rFonts w:asciiTheme="majorHAnsi" w:eastAsia="Calibri" w:hAnsiTheme="majorHAnsi" w:cs="Times New Roman"/>
      <w:color w:val="79BDE8" w:themeColor="background2"/>
      <w:sz w:val="28"/>
      <w:szCs w:val="18"/>
    </w:rPr>
  </w:style>
  <w:style w:type="character" w:styleId="Hyperlink">
    <w:name w:val="Hyperlink"/>
    <w:basedOn w:val="DefaultParagraphFont"/>
    <w:uiPriority w:val="99"/>
    <w:rPr>
      <w:color w:val="000000" w:themeColor="hyperlink"/>
      <w:u w:val="single"/>
    </w:rPr>
  </w:style>
  <w:style w:type="paragraph" w:customStyle="1" w:styleId="Doctitlewhite">
    <w:name w:val="Doc title white"/>
    <w:next w:val="Docsubtitle"/>
    <w:rsid w:val="00C267E1"/>
    <w:pPr>
      <w:spacing w:after="280" w:line="560" w:lineRule="exact"/>
      <w:ind w:left="1354"/>
    </w:pPr>
    <w:rPr>
      <w:rFonts w:asciiTheme="majorHAnsi" w:eastAsia="Calibri" w:hAnsiTheme="majorHAnsi" w:cs="Times New Roman"/>
      <w:b/>
      <w:color w:val="FFFFFF" w:themeColor="background1"/>
      <w:sz w:val="40"/>
      <w:szCs w:val="18"/>
    </w:rPr>
  </w:style>
  <w:style w:type="paragraph" w:customStyle="1" w:styleId="Introheading">
    <w:name w:val="Intro heading"/>
    <w:next w:val="Introcopy"/>
    <w:uiPriority w:val="5"/>
    <w:qFormat/>
    <w:pPr>
      <w:keepNext/>
      <w:spacing w:before="360" w:after="240"/>
    </w:pPr>
    <w:rPr>
      <w:rFonts w:asciiTheme="majorHAnsi" w:eastAsia="Calibri" w:hAnsiTheme="majorHAnsi" w:cs="Times New Roman"/>
      <w:color w:val="79BDE8" w:themeColor="background2"/>
      <w:sz w:val="28"/>
      <w:szCs w:val="18"/>
    </w:rPr>
  </w:style>
  <w:style w:type="paragraph" w:customStyle="1" w:styleId="ContentsTitle">
    <w:name w:val="Contents/Title"/>
    <w:next w:val="Bodycopy"/>
    <w:uiPriority w:val="3"/>
    <w:pPr>
      <w:spacing w:after="480"/>
    </w:pPr>
    <w:rPr>
      <w:rFonts w:asciiTheme="majorHAnsi" w:eastAsia="Times New Roman" w:hAnsiTheme="majorHAnsi" w:cs="Times New Roman"/>
      <w:b/>
      <w:color w:val="79BDE8" w:themeColor="background2"/>
      <w:sz w:val="48"/>
      <w:szCs w:val="20"/>
    </w:rPr>
  </w:style>
  <w:style w:type="paragraph" w:styleId="TOC1">
    <w:name w:val="toc 1"/>
    <w:next w:val="Bodycopy"/>
    <w:uiPriority w:val="39"/>
    <w:pPr>
      <w:tabs>
        <w:tab w:val="right" w:pos="4680"/>
      </w:tabs>
      <w:spacing w:after="360"/>
      <w:ind w:right="7056"/>
    </w:pPr>
    <w:rPr>
      <w:rFonts w:ascii="Arial" w:eastAsia="Calibri" w:hAnsi="Arial" w:cs="Times New Roman"/>
      <w:noProof/>
      <w:color w:val="000000" w:themeColor="text1"/>
      <w:sz w:val="28"/>
      <w:szCs w:val="18"/>
    </w:rPr>
  </w:style>
  <w:style w:type="paragraph" w:customStyle="1" w:styleId="Contentsbiotitle">
    <w:name w:val="Contents bio title"/>
    <w:uiPriority w:val="4"/>
    <w:pPr>
      <w:keepNext/>
    </w:pPr>
    <w:rPr>
      <w:rFonts w:eastAsia="Calibri" w:cs="Times New Roman"/>
      <w:color w:val="000000" w:themeColor="text1"/>
      <w:sz w:val="18"/>
      <w:szCs w:val="18"/>
    </w:rPr>
  </w:style>
  <w:style w:type="paragraph" w:customStyle="1" w:styleId="Contentsbioname">
    <w:name w:val="Contents bio name"/>
    <w:basedOn w:val="Contentsbiotitle"/>
    <w:next w:val="Contentsbiotitle"/>
    <w:uiPriority w:val="4"/>
    <w:pPr>
      <w:spacing w:after="120"/>
    </w:pPr>
    <w:rPr>
      <w:b/>
      <w:sz w:val="24"/>
    </w:rPr>
  </w:style>
  <w:style w:type="paragraph" w:styleId="FootnoteText">
    <w:name w:val="footnote text"/>
    <w:link w:val="FootnoteTextChar"/>
    <w:uiPriority w:val="99"/>
    <w:unhideWhenUsed/>
    <w:pPr>
      <w:ind w:left="86" w:hanging="86"/>
    </w:pPr>
    <w:rPr>
      <w:rFonts w:eastAsiaTheme="minorEastAsia"/>
      <w:color w:val="000000" w:themeColor="text1"/>
      <w:sz w:val="14"/>
      <w:szCs w:val="20"/>
    </w:rPr>
  </w:style>
  <w:style w:type="character" w:customStyle="1" w:styleId="FootnoteTextChar">
    <w:name w:val="Footnote Text Char"/>
    <w:basedOn w:val="DefaultParagraphFont"/>
    <w:link w:val="FootnoteText"/>
    <w:uiPriority w:val="99"/>
    <w:rPr>
      <w:rFonts w:eastAsiaTheme="minorEastAsia"/>
      <w:color w:val="000000" w:themeColor="text1"/>
      <w:sz w:val="14"/>
      <w:szCs w:val="20"/>
    </w:rPr>
  </w:style>
  <w:style w:type="character" w:styleId="FootnoteReference">
    <w:name w:val="footnote reference"/>
    <w:basedOn w:val="DefaultParagraphFont"/>
    <w:uiPriority w:val="99"/>
    <w:semiHidden/>
    <w:unhideWhenUsed/>
    <w:rPr>
      <w:vertAlign w:val="superscript"/>
    </w:rPr>
  </w:style>
  <w:style w:type="paragraph" w:customStyle="1" w:styleId="Back-hdgsnotinTOC">
    <w:name w:val="Back - hdgs not in TOC"/>
    <w:basedOn w:val="Bodycopy"/>
    <w:uiPriority w:val="17"/>
    <w:pPr>
      <w:spacing w:before="600" w:after="240"/>
      <w:ind w:left="360" w:right="396"/>
    </w:pPr>
    <w:rPr>
      <w:rFonts w:eastAsia="Times New Roman"/>
      <w:b/>
      <w:bCs/>
      <w:color w:val="79BDE8" w:themeColor="background2"/>
      <w:sz w:val="2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customStyle="1" w:styleId="Tablecopy">
    <w:name w:val="Table copy"/>
    <w:uiPriority w:val="14"/>
    <w:qFormat/>
    <w:pPr>
      <w:keepNext/>
      <w:spacing w:before="60" w:after="60"/>
      <w:ind w:right="144"/>
    </w:pPr>
    <w:rPr>
      <w:rFonts w:eastAsia="Calibri" w:cs="Times New Roman"/>
      <w:color w:val="000000" w:themeColor="text1"/>
      <w:spacing w:val="2"/>
      <w:sz w:val="14"/>
      <w:szCs w:val="18"/>
    </w:rPr>
  </w:style>
  <w:style w:type="character" w:customStyle="1" w:styleId="CommentTextChar">
    <w:name w:val="Comment Text Char"/>
    <w:basedOn w:val="DefaultParagraphFont"/>
    <w:link w:val="CommentText"/>
    <w:uiPriority w:val="99"/>
    <w:rPr>
      <w:rFonts w:eastAsiaTheme="minorEastAsia"/>
      <w:color w:val="00B05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color w:val="00B050"/>
      <w:sz w:val="20"/>
      <w:szCs w:val="20"/>
    </w:rPr>
  </w:style>
  <w:style w:type="character" w:customStyle="1" w:styleId="Back-copyboldcolorCHAR">
    <w:name w:val="Back - copy bold + color CHAR"/>
    <w:basedOn w:val="DefaultParagraphFont"/>
    <w:uiPriority w:val="18"/>
    <w:rPr>
      <w:b/>
      <w:color w:val="79BDE8" w:themeColor="background2"/>
    </w:rPr>
  </w:style>
  <w:style w:type="paragraph" w:styleId="Revision">
    <w:name w:val="Revision"/>
    <w:hidden/>
    <w:uiPriority w:val="99"/>
    <w:semiHidden/>
    <w:rPr>
      <w:rFonts w:eastAsiaTheme="minorEastAsia"/>
      <w:color w:val="00B050"/>
      <w:sz w:val="18"/>
    </w:rPr>
  </w:style>
  <w:style w:type="paragraph" w:customStyle="1" w:styleId="Pulloutcopy">
    <w:name w:val="Pullout copy"/>
    <w:uiPriority w:val="10"/>
    <w:pPr>
      <w:keepNext/>
    </w:pPr>
    <w:rPr>
      <w:rFonts w:eastAsia="Times New Roman" w:cs="Times New Roman"/>
      <w:color w:val="000000" w:themeColor="text1"/>
      <w:sz w:val="18"/>
      <w:szCs w:val="20"/>
    </w:rPr>
  </w:style>
  <w:style w:type="paragraph" w:customStyle="1" w:styleId="Pulloutfacthdg">
    <w:name w:val="Pullout fact hdg"/>
    <w:basedOn w:val="Pulloutcopy"/>
    <w:next w:val="Pulloutcopy"/>
    <w:uiPriority w:val="9"/>
    <w:pPr>
      <w:spacing w:after="120"/>
    </w:pPr>
    <w:rPr>
      <w:rFonts w:ascii="Arial" w:hAnsi="Arial"/>
      <w:b/>
      <w:bCs/>
      <w:sz w:val="20"/>
    </w:rPr>
  </w:style>
  <w:style w:type="paragraph" w:customStyle="1" w:styleId="Tintedtablehdg">
    <w:name w:val="Tinted table hdg"/>
    <w:basedOn w:val="Tintedtablecopy"/>
    <w:uiPriority w:val="10"/>
    <w:rPr>
      <w:b/>
      <w:bCs/>
    </w:rPr>
  </w:style>
  <w:style w:type="paragraph" w:customStyle="1" w:styleId="Heading2NOspacebefore">
    <w:name w:val="Heading 2 NO space before"/>
    <w:basedOn w:val="Heading2"/>
    <w:next w:val="Bodycopy"/>
    <w:uiPriority w:val="7"/>
    <w:qFormat/>
    <w:pPr>
      <w:spacing w:before="0"/>
    </w:pPr>
    <w:rPr>
      <w:rFonts w:eastAsia="Times New Roman" w:cs="Times New Roman"/>
      <w:bCs/>
      <w:szCs w:val="20"/>
    </w:rPr>
  </w:style>
  <w:style w:type="numbering" w:customStyle="1" w:styleId="Alphanumericlist">
    <w:name w:val="Alphanumeric list"/>
    <w:uiPriority w:val="99"/>
    <w:pPr>
      <w:numPr>
        <w:numId w:val="1"/>
      </w:numPr>
    </w:pPr>
  </w:style>
  <w:style w:type="numbering" w:customStyle="1" w:styleId="Bulletsymbols">
    <w:name w:val="Bullet symbols"/>
    <w:uiPriority w:val="99"/>
    <w:pPr>
      <w:numPr>
        <w:numId w:val="2"/>
      </w:numPr>
    </w:pPr>
  </w:style>
  <w:style w:type="numbering" w:customStyle="1" w:styleId="Decimaloutline">
    <w:name w:val="Decimal outline"/>
    <w:uiPriority w:val="99"/>
    <w:pPr>
      <w:numPr>
        <w:numId w:val="3"/>
      </w:numPr>
    </w:pPr>
  </w:style>
  <w:style w:type="paragraph" w:customStyle="1" w:styleId="Bulletlistcopy">
    <w:name w:val="Bullet/list copy"/>
    <w:basedOn w:val="Bodycopy"/>
    <w:uiPriority w:val="8"/>
    <w:qFormat/>
    <w:rsid w:val="009C26E3"/>
    <w:pPr>
      <w:numPr>
        <w:numId w:val="4"/>
      </w:numPr>
      <w:spacing w:line="220" w:lineRule="exact"/>
      <w:ind w:left="360"/>
    </w:pPr>
    <w:rPr>
      <w:rFonts w:eastAsia="Times New Roman"/>
      <w:szCs w:val="20"/>
    </w:rPr>
  </w:style>
  <w:style w:type="paragraph" w:customStyle="1" w:styleId="Iconintablecolumn">
    <w:name w:val="Icon in table column"/>
    <w:uiPriority w:val="12"/>
    <w:pPr>
      <w:keepNext/>
      <w:jc w:val="center"/>
    </w:pPr>
    <w:rPr>
      <w:rFonts w:eastAsia="Times New Roman" w:cs="Times New Roman"/>
      <w:color w:val="000000" w:themeColor="text1"/>
      <w:sz w:val="18"/>
      <w:szCs w:val="20"/>
    </w:rPr>
  </w:style>
  <w:style w:type="paragraph" w:customStyle="1" w:styleId="Tintedtablecopysmall">
    <w:name w:val="Tinted table copy small"/>
    <w:basedOn w:val="Tintedtablecopy"/>
    <w:uiPriority w:val="11"/>
    <w:rPr>
      <w:sz w:val="18"/>
    </w:rPr>
  </w:style>
  <w:style w:type="paragraph" w:customStyle="1" w:styleId="Tintedtablehdgsmall">
    <w:name w:val="Tinted table hdg small"/>
    <w:basedOn w:val="Tintedtablehdg"/>
    <w:uiPriority w:val="10"/>
    <w:rPr>
      <w:sz w:val="18"/>
    </w:rPr>
  </w:style>
  <w:style w:type="paragraph" w:customStyle="1" w:styleId="Tablecopyright">
    <w:name w:val="Table copy right"/>
    <w:basedOn w:val="Tablecopy"/>
    <w:uiPriority w:val="14"/>
    <w:qFormat/>
    <w:pPr>
      <w:jc w:val="right"/>
    </w:pPr>
    <w:rPr>
      <w:rFonts w:eastAsia="Times New Roman"/>
      <w:szCs w:val="20"/>
    </w:rPr>
  </w:style>
  <w:style w:type="paragraph" w:customStyle="1" w:styleId="Tintedtablelargecolumn">
    <w:name w:val="Tinted table large # column"/>
    <w:uiPriority w:val="11"/>
    <w:rPr>
      <w:rFonts w:eastAsia="Calibri" w:cs="Times New Roman"/>
      <w:b/>
      <w:bCs/>
      <w:color w:val="000000" w:themeColor="text1"/>
      <w:sz w:val="36"/>
      <w:szCs w:val="18"/>
    </w:rPr>
  </w:style>
  <w:style w:type="character" w:customStyle="1" w:styleId="TintedtablesymbolCHAR">
    <w:name w:val="Tinted table symbol CHAR"/>
    <w:basedOn w:val="DefaultParagraphFont"/>
    <w:uiPriority w:val="11"/>
    <w:rPr>
      <w:b w:val="0"/>
      <w:color w:val="000000" w:themeColor="text1"/>
      <w:sz w:val="72"/>
    </w:rPr>
  </w:style>
  <w:style w:type="paragraph" w:customStyle="1" w:styleId="Pulloutfacthdg2">
    <w:name w:val="Pullout fact hdg 2"/>
    <w:basedOn w:val="Pulloutfacthdg"/>
    <w:next w:val="Pulloutcopy"/>
    <w:uiPriority w:val="9"/>
    <w:pPr>
      <w:spacing w:after="80"/>
    </w:pPr>
    <w:rPr>
      <w:rFonts w:ascii="Arial Bold" w:hAnsi="Arial Bold"/>
      <w:caps/>
      <w:sz w:val="16"/>
    </w:rPr>
  </w:style>
  <w:style w:type="character" w:customStyle="1" w:styleId="AuthornameCHAR">
    <w:name w:val="Author name CHAR"/>
    <w:basedOn w:val="DefaultParagraphFont"/>
    <w:uiPriority w:val="5"/>
    <w:rPr>
      <w:b/>
      <w:color w:val="000000" w:themeColor="text1"/>
    </w:rPr>
  </w:style>
  <w:style w:type="paragraph" w:customStyle="1" w:styleId="TablegraphtitleNOspacebefore">
    <w:name w:val="Table/graph title NO space before"/>
    <w:basedOn w:val="Tablegraphtitle"/>
    <w:next w:val="Tablegraphintrocopy"/>
    <w:uiPriority w:val="12"/>
    <w:qFormat/>
    <w:pPr>
      <w:spacing w:before="0" w:after="120"/>
    </w:pPr>
  </w:style>
  <w:style w:type="paragraph" w:customStyle="1" w:styleId="Back-hdgsnotinTOCnoindent">
    <w:name w:val="Back - hdgs not in TOC no indent"/>
    <w:basedOn w:val="Back-hdgsnotinTOC"/>
    <w:uiPriority w:val="17"/>
    <w:pPr>
      <w:ind w:left="0"/>
    </w:pPr>
  </w:style>
  <w:style w:type="paragraph" w:styleId="EndnoteText">
    <w:name w:val="endnote text"/>
    <w:basedOn w:val="FootnoteText"/>
    <w:link w:val="EndnoteTextChar"/>
    <w:uiPriority w:val="99"/>
    <w:unhideWhenUsed/>
  </w:style>
  <w:style w:type="character" w:customStyle="1" w:styleId="EndnoteTextChar">
    <w:name w:val="Endnote Text Char"/>
    <w:basedOn w:val="DefaultParagraphFont"/>
    <w:link w:val="EndnoteText"/>
    <w:uiPriority w:val="99"/>
    <w:rPr>
      <w:rFonts w:eastAsiaTheme="minorEastAsia"/>
      <w:color w:val="000000" w:themeColor="text1"/>
      <w:sz w:val="14"/>
      <w:szCs w:val="20"/>
    </w:rPr>
  </w:style>
  <w:style w:type="character" w:styleId="EndnoteReference">
    <w:name w:val="endnote reference"/>
    <w:basedOn w:val="DefaultParagraphFont"/>
    <w:uiPriority w:val="99"/>
    <w:semiHidden/>
    <w:unhideWhenUsed/>
    <w:rPr>
      <w:vertAlign w:val="superscript"/>
    </w:rPr>
  </w:style>
  <w:style w:type="paragraph" w:customStyle="1" w:styleId="Placedelement">
    <w:name w:val="Placed element"/>
    <w:next w:val="Bodycopy"/>
    <w:uiPriority w:val="15"/>
    <w:pPr>
      <w:ind w:left="-43"/>
    </w:pPr>
    <w:rPr>
      <w:rFonts w:ascii="Arial" w:eastAsia="Times New Roman" w:hAnsi="Arial" w:cs="Times New Roman"/>
      <w:color w:val="000000" w:themeColor="text1"/>
      <w:sz w:val="16"/>
      <w:szCs w:val="20"/>
    </w:rPr>
  </w:style>
  <w:style w:type="paragraph" w:customStyle="1" w:styleId="Doctitleblack">
    <w:name w:val="Doc title black"/>
    <w:basedOn w:val="Doctitlewhite"/>
    <w:next w:val="Docsubtitle"/>
    <w:rPr>
      <w:bCs/>
      <w:color w:val="000000" w:themeColor="text1"/>
    </w:rPr>
  </w:style>
  <w:style w:type="paragraph" w:customStyle="1" w:styleId="Tablecopycentered">
    <w:name w:val="Table copy centered"/>
    <w:basedOn w:val="Tablecopy"/>
    <w:uiPriority w:val="14"/>
    <w:qFormat/>
    <w:pPr>
      <w:jc w:val="center"/>
    </w:pPr>
    <w:rPr>
      <w:rFonts w:eastAsia="Times New Roman"/>
      <w:szCs w:val="20"/>
    </w:rPr>
  </w:style>
  <w:style w:type="paragraph" w:styleId="ListParagraph">
    <w:name w:val="List Paragraph"/>
    <w:basedOn w:val="Normal"/>
    <w:uiPriority w:val="34"/>
    <w:qFormat/>
    <w:rsid w:val="00350F1D"/>
    <w:pPr>
      <w:spacing w:after="0"/>
      <w:ind w:left="720" w:right="0"/>
      <w:contextualSpacing/>
    </w:pPr>
    <w:rPr>
      <w:rFonts w:ascii="Calibri" w:eastAsiaTheme="minorHAnsi" w:hAnsi="Calibri" w:cs="Calibri"/>
      <w:color w:val="auto"/>
      <w:sz w:val="22"/>
      <w:szCs w:val="22"/>
      <w:lang w:val="en-AU"/>
    </w:rPr>
  </w:style>
  <w:style w:type="paragraph" w:customStyle="1" w:styleId="Default">
    <w:name w:val="Default"/>
    <w:rsid w:val="005F066A"/>
    <w:pPr>
      <w:autoSpaceDE w:val="0"/>
      <w:autoSpaceDN w:val="0"/>
      <w:adjustRightInd w:val="0"/>
    </w:pPr>
    <w:rPr>
      <w:rFonts w:ascii="Arial" w:hAnsi="Arial" w:cs="Arial"/>
      <w:color w:val="000000"/>
      <w:lang w:val="en-AU"/>
    </w:rPr>
  </w:style>
  <w:style w:type="character" w:styleId="UnresolvedMention">
    <w:name w:val="Unresolved Mention"/>
    <w:basedOn w:val="DefaultParagraphFont"/>
    <w:uiPriority w:val="99"/>
    <w:semiHidden/>
    <w:unhideWhenUsed/>
    <w:rsid w:val="00825ECC"/>
    <w:rPr>
      <w:color w:val="605E5C"/>
      <w:shd w:val="clear" w:color="auto" w:fill="E1DFDD"/>
    </w:rPr>
  </w:style>
  <w:style w:type="paragraph" w:styleId="NormalWeb">
    <w:name w:val="Normal (Web)"/>
    <w:basedOn w:val="Normal"/>
    <w:uiPriority w:val="99"/>
    <w:unhideWhenUsed/>
    <w:rsid w:val="003A0D31"/>
    <w:pPr>
      <w:spacing w:before="100" w:beforeAutospacing="1" w:after="100" w:afterAutospacing="1"/>
      <w:ind w:right="0"/>
    </w:pPr>
    <w:rPr>
      <w:rFonts w:ascii="Times New Roman" w:eastAsia="Times New Roman" w:hAnsi="Times New Roman" w:cs="Times New Roman"/>
      <w:color w:val="auto"/>
      <w:sz w:val="24"/>
      <w:lang w:val="en-AU" w:eastAsia="en-AU"/>
    </w:rPr>
  </w:style>
  <w:style w:type="paragraph" w:styleId="ListBullet">
    <w:name w:val="List Bullet"/>
    <w:basedOn w:val="Normal"/>
    <w:uiPriority w:val="99"/>
    <w:unhideWhenUsed/>
    <w:rsid w:val="00E62F31"/>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5225">
      <w:bodyDiv w:val="1"/>
      <w:marLeft w:val="0"/>
      <w:marRight w:val="0"/>
      <w:marTop w:val="0"/>
      <w:marBottom w:val="0"/>
      <w:divBdr>
        <w:top w:val="none" w:sz="0" w:space="0" w:color="auto"/>
        <w:left w:val="none" w:sz="0" w:space="0" w:color="auto"/>
        <w:bottom w:val="none" w:sz="0" w:space="0" w:color="auto"/>
        <w:right w:val="none" w:sz="0" w:space="0" w:color="auto"/>
      </w:divBdr>
    </w:div>
    <w:div w:id="340282684">
      <w:bodyDiv w:val="1"/>
      <w:marLeft w:val="0"/>
      <w:marRight w:val="0"/>
      <w:marTop w:val="0"/>
      <w:marBottom w:val="0"/>
      <w:divBdr>
        <w:top w:val="none" w:sz="0" w:space="0" w:color="auto"/>
        <w:left w:val="none" w:sz="0" w:space="0" w:color="auto"/>
        <w:bottom w:val="none" w:sz="0" w:space="0" w:color="auto"/>
        <w:right w:val="none" w:sz="0" w:space="0" w:color="auto"/>
      </w:divBdr>
    </w:div>
    <w:div w:id="431516326">
      <w:bodyDiv w:val="1"/>
      <w:marLeft w:val="0"/>
      <w:marRight w:val="0"/>
      <w:marTop w:val="0"/>
      <w:marBottom w:val="0"/>
      <w:divBdr>
        <w:top w:val="none" w:sz="0" w:space="0" w:color="auto"/>
        <w:left w:val="none" w:sz="0" w:space="0" w:color="auto"/>
        <w:bottom w:val="none" w:sz="0" w:space="0" w:color="auto"/>
        <w:right w:val="none" w:sz="0" w:space="0" w:color="auto"/>
      </w:divBdr>
    </w:div>
    <w:div w:id="623537633">
      <w:bodyDiv w:val="1"/>
      <w:marLeft w:val="0"/>
      <w:marRight w:val="0"/>
      <w:marTop w:val="0"/>
      <w:marBottom w:val="0"/>
      <w:divBdr>
        <w:top w:val="none" w:sz="0" w:space="0" w:color="auto"/>
        <w:left w:val="none" w:sz="0" w:space="0" w:color="auto"/>
        <w:bottom w:val="none" w:sz="0" w:space="0" w:color="auto"/>
        <w:right w:val="none" w:sz="0" w:space="0" w:color="auto"/>
      </w:divBdr>
    </w:div>
    <w:div w:id="627972102">
      <w:bodyDiv w:val="1"/>
      <w:marLeft w:val="0"/>
      <w:marRight w:val="0"/>
      <w:marTop w:val="0"/>
      <w:marBottom w:val="0"/>
      <w:divBdr>
        <w:top w:val="none" w:sz="0" w:space="0" w:color="auto"/>
        <w:left w:val="none" w:sz="0" w:space="0" w:color="auto"/>
        <w:bottom w:val="none" w:sz="0" w:space="0" w:color="auto"/>
        <w:right w:val="none" w:sz="0" w:space="0" w:color="auto"/>
      </w:divBdr>
    </w:div>
    <w:div w:id="666632427">
      <w:bodyDiv w:val="1"/>
      <w:marLeft w:val="0"/>
      <w:marRight w:val="0"/>
      <w:marTop w:val="0"/>
      <w:marBottom w:val="0"/>
      <w:divBdr>
        <w:top w:val="none" w:sz="0" w:space="0" w:color="auto"/>
        <w:left w:val="none" w:sz="0" w:space="0" w:color="auto"/>
        <w:bottom w:val="none" w:sz="0" w:space="0" w:color="auto"/>
        <w:right w:val="none" w:sz="0" w:space="0" w:color="auto"/>
      </w:divBdr>
    </w:div>
    <w:div w:id="764880609">
      <w:bodyDiv w:val="1"/>
      <w:marLeft w:val="0"/>
      <w:marRight w:val="0"/>
      <w:marTop w:val="0"/>
      <w:marBottom w:val="0"/>
      <w:divBdr>
        <w:top w:val="none" w:sz="0" w:space="0" w:color="auto"/>
        <w:left w:val="none" w:sz="0" w:space="0" w:color="auto"/>
        <w:bottom w:val="none" w:sz="0" w:space="0" w:color="auto"/>
        <w:right w:val="none" w:sz="0" w:space="0" w:color="auto"/>
      </w:divBdr>
    </w:div>
    <w:div w:id="778180791">
      <w:bodyDiv w:val="1"/>
      <w:marLeft w:val="0"/>
      <w:marRight w:val="0"/>
      <w:marTop w:val="0"/>
      <w:marBottom w:val="0"/>
      <w:divBdr>
        <w:top w:val="none" w:sz="0" w:space="0" w:color="auto"/>
        <w:left w:val="none" w:sz="0" w:space="0" w:color="auto"/>
        <w:bottom w:val="none" w:sz="0" w:space="0" w:color="auto"/>
        <w:right w:val="none" w:sz="0" w:space="0" w:color="auto"/>
      </w:divBdr>
    </w:div>
    <w:div w:id="814182441">
      <w:bodyDiv w:val="1"/>
      <w:marLeft w:val="0"/>
      <w:marRight w:val="0"/>
      <w:marTop w:val="0"/>
      <w:marBottom w:val="0"/>
      <w:divBdr>
        <w:top w:val="none" w:sz="0" w:space="0" w:color="auto"/>
        <w:left w:val="none" w:sz="0" w:space="0" w:color="auto"/>
        <w:bottom w:val="none" w:sz="0" w:space="0" w:color="auto"/>
        <w:right w:val="none" w:sz="0" w:space="0" w:color="auto"/>
      </w:divBdr>
    </w:div>
    <w:div w:id="893812647">
      <w:bodyDiv w:val="1"/>
      <w:marLeft w:val="0"/>
      <w:marRight w:val="0"/>
      <w:marTop w:val="0"/>
      <w:marBottom w:val="0"/>
      <w:divBdr>
        <w:top w:val="none" w:sz="0" w:space="0" w:color="auto"/>
        <w:left w:val="none" w:sz="0" w:space="0" w:color="auto"/>
        <w:bottom w:val="none" w:sz="0" w:space="0" w:color="auto"/>
        <w:right w:val="none" w:sz="0" w:space="0" w:color="auto"/>
      </w:divBdr>
    </w:div>
    <w:div w:id="1025524405">
      <w:bodyDiv w:val="1"/>
      <w:marLeft w:val="0"/>
      <w:marRight w:val="0"/>
      <w:marTop w:val="0"/>
      <w:marBottom w:val="0"/>
      <w:divBdr>
        <w:top w:val="none" w:sz="0" w:space="0" w:color="auto"/>
        <w:left w:val="none" w:sz="0" w:space="0" w:color="auto"/>
        <w:bottom w:val="none" w:sz="0" w:space="0" w:color="auto"/>
        <w:right w:val="none" w:sz="0" w:space="0" w:color="auto"/>
      </w:divBdr>
    </w:div>
    <w:div w:id="1300064140">
      <w:bodyDiv w:val="1"/>
      <w:marLeft w:val="0"/>
      <w:marRight w:val="0"/>
      <w:marTop w:val="0"/>
      <w:marBottom w:val="0"/>
      <w:divBdr>
        <w:top w:val="none" w:sz="0" w:space="0" w:color="auto"/>
        <w:left w:val="none" w:sz="0" w:space="0" w:color="auto"/>
        <w:bottom w:val="none" w:sz="0" w:space="0" w:color="auto"/>
        <w:right w:val="none" w:sz="0" w:space="0" w:color="auto"/>
      </w:divBdr>
    </w:div>
    <w:div w:id="1388063928">
      <w:bodyDiv w:val="1"/>
      <w:marLeft w:val="0"/>
      <w:marRight w:val="0"/>
      <w:marTop w:val="0"/>
      <w:marBottom w:val="0"/>
      <w:divBdr>
        <w:top w:val="none" w:sz="0" w:space="0" w:color="auto"/>
        <w:left w:val="none" w:sz="0" w:space="0" w:color="auto"/>
        <w:bottom w:val="none" w:sz="0" w:space="0" w:color="auto"/>
        <w:right w:val="none" w:sz="0" w:space="0" w:color="auto"/>
      </w:divBdr>
    </w:div>
    <w:div w:id="1464696191">
      <w:bodyDiv w:val="1"/>
      <w:marLeft w:val="0"/>
      <w:marRight w:val="0"/>
      <w:marTop w:val="0"/>
      <w:marBottom w:val="0"/>
      <w:divBdr>
        <w:top w:val="none" w:sz="0" w:space="0" w:color="auto"/>
        <w:left w:val="none" w:sz="0" w:space="0" w:color="auto"/>
        <w:bottom w:val="none" w:sz="0" w:space="0" w:color="auto"/>
        <w:right w:val="none" w:sz="0" w:space="0" w:color="auto"/>
      </w:divBdr>
    </w:div>
    <w:div w:id="1488402992">
      <w:bodyDiv w:val="1"/>
      <w:marLeft w:val="0"/>
      <w:marRight w:val="0"/>
      <w:marTop w:val="0"/>
      <w:marBottom w:val="0"/>
      <w:divBdr>
        <w:top w:val="none" w:sz="0" w:space="0" w:color="auto"/>
        <w:left w:val="none" w:sz="0" w:space="0" w:color="auto"/>
        <w:bottom w:val="none" w:sz="0" w:space="0" w:color="auto"/>
        <w:right w:val="none" w:sz="0" w:space="0" w:color="auto"/>
      </w:divBdr>
    </w:div>
    <w:div w:id="1494298930">
      <w:bodyDiv w:val="1"/>
      <w:marLeft w:val="0"/>
      <w:marRight w:val="0"/>
      <w:marTop w:val="0"/>
      <w:marBottom w:val="0"/>
      <w:divBdr>
        <w:top w:val="none" w:sz="0" w:space="0" w:color="auto"/>
        <w:left w:val="none" w:sz="0" w:space="0" w:color="auto"/>
        <w:bottom w:val="none" w:sz="0" w:space="0" w:color="auto"/>
        <w:right w:val="none" w:sz="0" w:space="0" w:color="auto"/>
      </w:divBdr>
    </w:div>
    <w:div w:id="1544363391">
      <w:bodyDiv w:val="1"/>
      <w:marLeft w:val="0"/>
      <w:marRight w:val="0"/>
      <w:marTop w:val="0"/>
      <w:marBottom w:val="0"/>
      <w:divBdr>
        <w:top w:val="none" w:sz="0" w:space="0" w:color="auto"/>
        <w:left w:val="none" w:sz="0" w:space="0" w:color="auto"/>
        <w:bottom w:val="none" w:sz="0" w:space="0" w:color="auto"/>
        <w:right w:val="none" w:sz="0" w:space="0" w:color="auto"/>
      </w:divBdr>
    </w:div>
    <w:div w:id="1547639155">
      <w:bodyDiv w:val="1"/>
      <w:marLeft w:val="0"/>
      <w:marRight w:val="0"/>
      <w:marTop w:val="0"/>
      <w:marBottom w:val="0"/>
      <w:divBdr>
        <w:top w:val="none" w:sz="0" w:space="0" w:color="auto"/>
        <w:left w:val="none" w:sz="0" w:space="0" w:color="auto"/>
        <w:bottom w:val="none" w:sz="0" w:space="0" w:color="auto"/>
        <w:right w:val="none" w:sz="0" w:space="0" w:color="auto"/>
      </w:divBdr>
    </w:div>
    <w:div w:id="1679697162">
      <w:bodyDiv w:val="1"/>
      <w:marLeft w:val="0"/>
      <w:marRight w:val="0"/>
      <w:marTop w:val="0"/>
      <w:marBottom w:val="0"/>
      <w:divBdr>
        <w:top w:val="none" w:sz="0" w:space="0" w:color="auto"/>
        <w:left w:val="none" w:sz="0" w:space="0" w:color="auto"/>
        <w:bottom w:val="none" w:sz="0" w:space="0" w:color="auto"/>
        <w:right w:val="none" w:sz="0" w:space="0" w:color="auto"/>
      </w:divBdr>
    </w:div>
    <w:div w:id="1904679018">
      <w:bodyDiv w:val="1"/>
      <w:marLeft w:val="0"/>
      <w:marRight w:val="0"/>
      <w:marTop w:val="0"/>
      <w:marBottom w:val="0"/>
      <w:divBdr>
        <w:top w:val="none" w:sz="0" w:space="0" w:color="auto"/>
        <w:left w:val="none" w:sz="0" w:space="0" w:color="auto"/>
        <w:bottom w:val="none" w:sz="0" w:space="0" w:color="auto"/>
        <w:right w:val="none" w:sz="0" w:space="0" w:color="auto"/>
      </w:divBdr>
    </w:div>
    <w:div w:id="1923250701">
      <w:bodyDiv w:val="1"/>
      <w:marLeft w:val="0"/>
      <w:marRight w:val="0"/>
      <w:marTop w:val="0"/>
      <w:marBottom w:val="0"/>
      <w:divBdr>
        <w:top w:val="none" w:sz="0" w:space="0" w:color="auto"/>
        <w:left w:val="none" w:sz="0" w:space="0" w:color="auto"/>
        <w:bottom w:val="none" w:sz="0" w:space="0" w:color="auto"/>
        <w:right w:val="none" w:sz="0" w:space="0" w:color="auto"/>
      </w:divBdr>
    </w:div>
    <w:div w:id="1976448864">
      <w:bodyDiv w:val="1"/>
      <w:marLeft w:val="0"/>
      <w:marRight w:val="0"/>
      <w:marTop w:val="0"/>
      <w:marBottom w:val="0"/>
      <w:divBdr>
        <w:top w:val="none" w:sz="0" w:space="0" w:color="auto"/>
        <w:left w:val="none" w:sz="0" w:space="0" w:color="auto"/>
        <w:bottom w:val="none" w:sz="0" w:space="0" w:color="auto"/>
        <w:right w:val="none" w:sz="0" w:space="0" w:color="auto"/>
      </w:divBdr>
    </w:div>
    <w:div w:id="20580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Russell Investments">
  <a:themeElements>
    <a:clrScheme name="Custom 74">
      <a:dk1>
        <a:srgbClr val="000000"/>
      </a:dk1>
      <a:lt1>
        <a:srgbClr val="FFFFFF"/>
      </a:lt1>
      <a:dk2>
        <a:srgbClr val="5F6061"/>
      </a:dk2>
      <a:lt2>
        <a:srgbClr val="79BDE8"/>
      </a:lt2>
      <a:accent1>
        <a:srgbClr val="F57E20"/>
      </a:accent1>
      <a:accent2>
        <a:srgbClr val="79BDE8"/>
      </a:accent2>
      <a:accent3>
        <a:srgbClr val="A39A93"/>
      </a:accent3>
      <a:accent4>
        <a:srgbClr val="005596"/>
      </a:accent4>
      <a:accent5>
        <a:srgbClr val="EFC163"/>
      </a:accent5>
      <a:accent6>
        <a:srgbClr val="982024"/>
      </a:accent6>
      <a:hlink>
        <a:srgbClr val="000000"/>
      </a:hlink>
      <a:folHlink>
        <a:srgbClr val="5F6061"/>
      </a:folHlink>
    </a:clrScheme>
    <a:fontScheme name="Russell Research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Russell Investments">
        <a:dk1>
          <a:srgbClr val="000000"/>
        </a:dk1>
        <a:lt1>
          <a:srgbClr val="FFFFFF"/>
        </a:lt1>
        <a:dk2>
          <a:srgbClr val="5F6061"/>
        </a:dk2>
        <a:lt2>
          <a:srgbClr val="DBD8BD"/>
        </a:lt2>
        <a:accent1>
          <a:srgbClr val="F57E20"/>
        </a:accent1>
        <a:accent2>
          <a:srgbClr val="79BDE8"/>
        </a:accent2>
        <a:accent3>
          <a:srgbClr val="A39A93"/>
        </a:accent3>
        <a:accent4>
          <a:srgbClr val="005596"/>
        </a:accent4>
        <a:accent5>
          <a:srgbClr val="982024"/>
        </a:accent5>
        <a:accent6>
          <a:srgbClr val="EFC163"/>
        </a:accent6>
        <a:hlink>
          <a:srgbClr val="000000"/>
        </a:hlink>
        <a:folHlink>
          <a:srgbClr val="000000"/>
        </a:folHlink>
      </a:clrScheme>
    </a:extraClrScheme>
  </a:extraClrSchemeLst>
  <a:custClrLst>
    <a:custClr name="Black">
      <a:srgbClr val="000000"/>
    </a:custClr>
    <a:custClr name="White">
      <a:srgbClr val="FFFFFF"/>
    </a:custClr>
    <a:custClr name="PMS 425">
      <a:srgbClr val="5F6062"/>
    </a:custClr>
    <a:custClr name="PMS 152">
      <a:srgbClr val="F57E20"/>
    </a:custClr>
    <a:custClr name="PMS 292">
      <a:srgbClr val="79BDE8"/>
    </a:custClr>
    <a:custClr name="PMS WARM GRAY 7">
      <a:srgbClr val="A49A94"/>
    </a:custClr>
    <a:custClr name="PMS 453">
      <a:srgbClr val="DBD8BD"/>
    </a:custClr>
    <a:custClr name="PMS 294">
      <a:srgbClr val="005596"/>
    </a:custClr>
    <a:custClr name="PMS 292+45k">
      <a:srgbClr val="4B7995"/>
    </a:custClr>
    <a:custClr name="PMS 292+30k">
      <a:srgbClr val="5B90B0"/>
    </a:custClr>
    <a:custClr name="PMS 292+15k">
      <a:srgbClr val="6AA6CB"/>
    </a:custClr>
    <a:custClr name="PMS 152+15k">
      <a:srgbClr val="D46E1B"/>
    </a:custClr>
    <a:custClr name="PMS WARM GRAY 7 (AT 50%)">
      <a:srgbClr val="CBC5C2"/>
    </a:custClr>
    <a:custClr name="PMS WARM GRAY 7+20k">
      <a:srgbClr val="7D746E"/>
    </a:custClr>
    <a:custClr name="PMS 453+10k">
      <a:srgbClr val="C7C5AD"/>
    </a:custClr>
    <a:custClr name="PMS 453+20k">
      <a:srgbClr val="B5B49F"/>
    </a:custClr>
    <a:custClr name="CORP DK BROWN">
      <a:srgbClr val="4E180E"/>
    </a:custClr>
    <a:custClr name="CORP MED BROWN">
      <a:srgbClr val="7C3A00"/>
    </a:custClr>
    <a:custClr name="CORP LT BROWN">
      <a:srgbClr val="AA703F"/>
    </a:custClr>
    <a:custClr name="CORP CRIMSON">
      <a:srgbClr val="982124"/>
    </a:custClr>
    <a:custClr name="CORP RED">
      <a:srgbClr val="C44F27"/>
    </a:custClr>
    <a:custClr name="CORP YELLOW">
      <a:srgbClr val="EFC163"/>
    </a:custClr>
    <a:custClr name="CORP PURPLE">
      <a:srgbClr val="582857"/>
    </a:custClr>
    <a:custClr name="CORP LT PURPLE">
      <a:srgbClr val="866781"/>
    </a:custClr>
    <a:custClr name="CORP GREEN">
      <a:srgbClr val="607653"/>
    </a:custClr>
    <a:custClr name="CORP LT GREEN">
      <a:srgbClr val="91AA88"/>
    </a:custClr>
    <a:custClr name=" ">
      <a:srgbClr val="FFFFFF"/>
    </a:custClr>
    <a:custClr name=" ">
      <a:srgbClr val="FFFFFF"/>
    </a:custClr>
    <a:custClr name=" ">
      <a:srgbClr val="FFFFFF"/>
    </a:custClr>
    <a:custClr name=" ">
      <a:srgbClr val="FFFFFF"/>
    </a:custClr>
    <a:custClr name="PMS 425 (AT 50%)">
      <a:srgbClr val="AFB0B1"/>
    </a:custClr>
    <a:custClr name="PMS 152 (AT 50%)">
      <a:srgbClr val="FABF90"/>
    </a:custClr>
    <a:custClr name="PMS 292 (AT 50%)">
      <a:srgbClr val="BCDEF4"/>
    </a:custClr>
    <a:custClr name="PMS WARM GRAY 7 (AT 50%)">
      <a:srgbClr val="CBC5C2"/>
    </a:custClr>
    <a:custClr name="PMS 453 (AT 50%)">
      <a:srgbClr val="EDECDE"/>
    </a:custClr>
    <a:custClr name="PMS 294 (AT 50%)">
      <a:srgbClr val="80AACB"/>
    </a:custClr>
    <a:custClr name="CORP DK BROWN (AT 50%)">
      <a:srgbClr val="A78C87"/>
    </a:custClr>
    <a:custClr name="CORP MED BROWN (AT 50%)">
      <a:srgbClr val="BE9D80"/>
    </a:custClr>
    <a:custClr name="CORP LT BROWN (AT 50%)">
      <a:srgbClr val="D5B89F"/>
    </a:custClr>
    <a:custClr name="CORP CRIMSON (AT 50%)">
      <a:srgbClr val="CC9092"/>
    </a:custClr>
    <a:custClr name="CORP RED (AT 50%)">
      <a:srgbClr val="E2A793"/>
    </a:custClr>
    <a:custClr name="CORP YELLOW (AT 50%)">
      <a:srgbClr val="F7E0B1"/>
    </a:custClr>
    <a:custClr name="CORP PURPLE (AT 50%)">
      <a:srgbClr val="AC94AB"/>
    </a:custClr>
    <a:custClr name="CORP LT PURPLE (AT 50%)">
      <a:srgbClr val="C3B3C0"/>
    </a:custClr>
    <a:custClr name="CORP GREEN (AT 50%)">
      <a:srgbClr val="B0BBA9"/>
    </a:custClr>
    <a:custClr name="CORP LT GREEN (AT 50%)">
      <a:srgbClr val="C8D5C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1864A86455B41B371FD6027F3FDD5" ma:contentTypeVersion="15" ma:contentTypeDescription="Create a new document." ma:contentTypeScope="" ma:versionID="45d8abefd6dd006cb9b77ae402d4c5ab">
  <xsd:schema xmlns:xsd="http://www.w3.org/2001/XMLSchema" xmlns:xs="http://www.w3.org/2001/XMLSchema" xmlns:p="http://schemas.microsoft.com/office/2006/metadata/properties" xmlns:ns2="a94dacfc-daff-4e37-b8e1-865c6503696b" xmlns:ns3="2b26f761-324f-4f64-b592-25eadf13cf48" targetNamespace="http://schemas.microsoft.com/office/2006/metadata/properties" ma:root="true" ma:fieldsID="bcbac783e8337988990251df119d47db" ns2:_="" ns3:_="">
    <xsd:import namespace="a94dacfc-daff-4e37-b8e1-865c6503696b"/>
    <xsd:import namespace="2b26f761-324f-4f64-b592-25eadf13cf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dacfc-daff-4e37-b8e1-865c65036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us" ma:index="20" nillable="true" ma:displayName="Status" ma:format="Dropdown" ma:internalName="Status">
      <xsd:simpleType>
        <xsd:restriction base="dms:Choice">
          <xsd:enumeration value="Not Yet Started"/>
          <xsd:enumeration value="Sent to Acuity"/>
          <xsd:enumeration value="Completed"/>
          <xsd:enumeration value="Under Review"/>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6f761-324f-4f64-b592-25eadf13cf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a94dacfc-daff-4e37-b8e1-865c650369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DFAEE-EB0F-40BF-8EBF-6B403B7EFF5B}">
  <ds:schemaRefs>
    <ds:schemaRef ds:uri="http://schemas.openxmlformats.org/officeDocument/2006/bibliography"/>
  </ds:schemaRefs>
</ds:datastoreItem>
</file>

<file path=customXml/itemProps2.xml><?xml version="1.0" encoding="utf-8"?>
<ds:datastoreItem xmlns:ds="http://schemas.openxmlformats.org/officeDocument/2006/customXml" ds:itemID="{1466AB5C-B4DD-4E53-8916-EB6A27F3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dacfc-daff-4e37-b8e1-865c6503696b"/>
    <ds:schemaRef ds:uri="2b26f761-324f-4f64-b592-25eadf13c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2D599-4FFC-4427-99CA-4850154693F4}">
  <ds:schemaRefs>
    <ds:schemaRef ds:uri="http://schemas.microsoft.com/office/2006/metadata/properties"/>
    <ds:schemaRef ds:uri="http://schemas.microsoft.com/office/infopath/2007/PartnerControls"/>
    <ds:schemaRef ds:uri="a94dacfc-daff-4e37-b8e1-865c6503696b"/>
  </ds:schemaRefs>
</ds:datastoreItem>
</file>

<file path=customXml/itemProps4.xml><?xml version="1.0" encoding="utf-8"?>
<ds:datastoreItem xmlns:ds="http://schemas.openxmlformats.org/officeDocument/2006/customXml" ds:itemID="{D3AAE2A4-4FAA-4FB5-813D-BE04695B7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SGamage@russellinvestments.com</dc:creator>
  <cp:keywords/>
  <dc:description/>
  <cp:lastModifiedBy>Gunawardana, Anushika</cp:lastModifiedBy>
  <cp:revision>5</cp:revision>
  <cp:lastPrinted>2022-05-03T00:46:00Z</cp:lastPrinted>
  <dcterms:created xsi:type="dcterms:W3CDTF">2025-12-18T03:33:00Z</dcterms:created>
  <dcterms:modified xsi:type="dcterms:W3CDTF">2026-01-05T23:08:00Z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0x010100CC21864A86455B41B371FD6027F3FDD5</vt:lpwstr>
  </property>
</Properties>
</file>