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65AD" w14:textId="77777777" w:rsidR="00F75C0B" w:rsidRDefault="00A10F85" w:rsidP="00F75C0B">
      <w:pPr>
        <w:pStyle w:val="Introcopy"/>
        <w:tabs>
          <w:tab w:val="left" w:pos="8182"/>
        </w:tabs>
        <w:spacing w:after="0"/>
        <w:rPr>
          <w:rFonts w:ascii="Compatil Fact LT Pro" w:hAnsi="Compatil Fact LT Pro"/>
          <w:noProof/>
          <w:color w:val="FFFFFF" w:themeColor="background1"/>
          <w:sz w:val="44"/>
          <w:szCs w:val="44"/>
        </w:rPr>
      </w:pPr>
      <w:r>
        <w:rPr>
          <w:rFonts w:ascii="Compatil Fact LT Pro" w:hAnsi="Compatil Fact LT Pro"/>
          <w:noProof/>
          <w:color w:val="FFFFFF" w:themeColor="background1"/>
          <w:sz w:val="44"/>
          <w:szCs w:val="44"/>
        </w:rPr>
        <w:t xml:space="preserve">SUSTAINABLE </w:t>
      </w:r>
      <w:r w:rsidR="00247DCC" w:rsidRPr="007E2F97">
        <w:rPr>
          <w:rFonts w:ascii="Compatil Fact LT Pro" w:hAnsi="Compatil Fact LT Pro"/>
          <w:noProof/>
          <w:color w:val="FFFFFF" w:themeColor="background1"/>
          <w:sz w:val="44"/>
          <w:szCs w:val="44"/>
        </w:rPr>
        <w:t>MANAGED</w:t>
      </w:r>
    </w:p>
    <w:p w14:paraId="3BE614D2" w14:textId="122E0CD1" w:rsidR="00166A70" w:rsidRPr="007E2F97" w:rsidRDefault="00247DCC" w:rsidP="00F75C0B">
      <w:pPr>
        <w:pStyle w:val="Introcopy"/>
        <w:tabs>
          <w:tab w:val="left" w:pos="8182"/>
        </w:tabs>
        <w:spacing w:after="0"/>
        <w:rPr>
          <w:rFonts w:ascii="Compatil Fact LT Pro" w:hAnsi="Compatil Fact LT Pro"/>
          <w:noProof/>
          <w:color w:val="FFFFFF" w:themeColor="background1"/>
          <w:sz w:val="44"/>
          <w:szCs w:val="44"/>
        </w:rPr>
      </w:pPr>
      <w:r w:rsidRPr="007E2F97">
        <w:rPr>
          <w:rFonts w:ascii="Compatil Fact LT Pro" w:hAnsi="Compatil Fact LT Pro"/>
          <w:noProof/>
          <w:color w:val="FFFFFF" w:themeColor="background1"/>
          <w:sz w:val="44"/>
          <w:szCs w:val="44"/>
        </w:rPr>
        <w:t>PORTFOLIOS</w:t>
      </w:r>
      <w:r w:rsidR="00F75C0B">
        <w:rPr>
          <w:rFonts w:ascii="Compatil Fact LT Pro" w:hAnsi="Compatil Fact LT Pro"/>
          <w:noProof/>
          <w:color w:val="FFFFFF" w:themeColor="background1"/>
          <w:sz w:val="44"/>
          <w:szCs w:val="44"/>
        </w:rPr>
        <w:tab/>
      </w:r>
    </w:p>
    <w:p w14:paraId="53BEE89A" w14:textId="77777777" w:rsidR="007E2F97" w:rsidRDefault="007E2F97" w:rsidP="00FB583B">
      <w:pPr>
        <w:pStyle w:val="Introcopy"/>
        <w:rPr>
          <w:rFonts w:ascii="Compatil Fact LT Pro" w:hAnsi="Compatil Fact LT Pro"/>
          <w:noProof/>
          <w:color w:val="FFFFFF" w:themeColor="background1"/>
          <w:sz w:val="20"/>
          <w:szCs w:val="20"/>
        </w:rPr>
      </w:pPr>
    </w:p>
    <w:p w14:paraId="62E972E9" w14:textId="0D47F554" w:rsidR="00FB583B" w:rsidRPr="006A65F6" w:rsidRDefault="00F012E3" w:rsidP="00FB583B">
      <w:pPr>
        <w:pStyle w:val="Introcopy"/>
        <w:rPr>
          <w:rFonts w:ascii="Compatil Fact LT Pro" w:hAnsi="Compatil Fact LT Pro"/>
          <w:noProof/>
          <w:color w:val="FFFFFF" w:themeColor="background1"/>
          <w:sz w:val="40"/>
          <w:szCs w:val="40"/>
        </w:rPr>
      </w:pPr>
      <w:r>
        <w:rPr>
          <w:rFonts w:ascii="Compatil Fact LT Pro" w:hAnsi="Compatil Fact LT Pro"/>
          <w:noProof/>
          <w:color w:val="FFFFFF" w:themeColor="background1"/>
          <w:sz w:val="20"/>
          <w:szCs w:val="20"/>
        </w:rPr>
        <w:t xml:space="preserve">PORTFOLIO CHANGES: </w:t>
      </w:r>
      <w:r w:rsidR="00952B22">
        <w:rPr>
          <w:rFonts w:ascii="Compatil Fact LT Pro" w:hAnsi="Compatil Fact LT Pro"/>
          <w:noProof/>
          <w:color w:val="FF0000"/>
          <w:sz w:val="20"/>
          <w:szCs w:val="20"/>
        </w:rPr>
        <w:t>AUGUST</w:t>
      </w:r>
      <w:r w:rsidR="00A83F6B">
        <w:rPr>
          <w:rFonts w:ascii="Compatil Fact LT Pro" w:hAnsi="Compatil Fact LT Pro"/>
          <w:noProof/>
          <w:color w:val="FF0000"/>
          <w:sz w:val="20"/>
          <w:szCs w:val="20"/>
        </w:rPr>
        <w:t xml:space="preserve"> </w:t>
      </w:r>
      <w:r w:rsidR="008674B7">
        <w:rPr>
          <w:rFonts w:ascii="Compatil Fact LT Pro" w:hAnsi="Compatil Fact LT Pro"/>
          <w:noProof/>
          <w:color w:val="FF0000"/>
          <w:sz w:val="20"/>
          <w:szCs w:val="20"/>
        </w:rPr>
        <w:t>202</w:t>
      </w:r>
      <w:r w:rsidR="00305D38">
        <w:rPr>
          <w:rFonts w:ascii="Compatil Fact LT Pro" w:hAnsi="Compatil Fact LT Pro"/>
          <w:noProof/>
          <w:color w:val="FF0000"/>
          <w:sz w:val="20"/>
          <w:szCs w:val="20"/>
        </w:rPr>
        <w:t>5</w:t>
      </w:r>
    </w:p>
    <w:p w14:paraId="2675B526" w14:textId="2C62BA69" w:rsidR="00FB583B" w:rsidRPr="00A05937" w:rsidRDefault="00A05937" w:rsidP="00FB583B">
      <w:pPr>
        <w:pStyle w:val="Introcopy"/>
        <w:rPr>
          <w:rFonts w:ascii="Compatil Fact LT Pro" w:hAnsi="Compatil Fact LT Pro"/>
          <w:b/>
          <w:bCs/>
          <w:noProof/>
        </w:rPr>
      </w:pPr>
      <w:r w:rsidRPr="00A05937">
        <w:rPr>
          <w:rFonts w:ascii="Compatil Fact LT Pro" w:hAnsi="Compatil Fact LT Pro"/>
          <w:b/>
          <w:bCs/>
          <w:noProof/>
        </w:rPr>
        <w:br/>
      </w:r>
    </w:p>
    <w:p w14:paraId="3F560A2B" w14:textId="79D59162" w:rsidR="00C474E8" w:rsidRPr="00A05937" w:rsidRDefault="00C474E8" w:rsidP="00A05937">
      <w:pPr>
        <w:pStyle w:val="Introcopy"/>
        <w:rPr>
          <w:rFonts w:ascii="Compatil Fact LT Pro" w:hAnsi="Compatil Fact LT Pro"/>
        </w:rPr>
        <w:sectPr w:rsidR="00C474E8" w:rsidRPr="00A05937" w:rsidSect="00FB583B">
          <w:headerReference w:type="default" r:id="rId11"/>
          <w:footerReference w:type="default" r:id="rId12"/>
          <w:pgSz w:w="11907" w:h="16840" w:code="9"/>
          <w:pgMar w:top="720" w:right="794" w:bottom="1440" w:left="794" w:header="578" w:footer="578" w:gutter="0"/>
          <w:cols w:space="720"/>
          <w:docGrid w:linePitch="360"/>
        </w:sectPr>
      </w:pPr>
    </w:p>
    <w:p w14:paraId="7122EC29" w14:textId="646DA09D" w:rsidR="00F012E3" w:rsidRPr="005C473B" w:rsidRDefault="00F012E3" w:rsidP="00F012E3">
      <w:pPr>
        <w:spacing w:after="160" w:line="276" w:lineRule="auto"/>
        <w:ind w:right="0"/>
        <w:rPr>
          <w:rFonts w:ascii="Compatil Fact LT Pro" w:eastAsia="Calibri" w:hAnsi="Compatil Fact LT Pro" w:cstheme="majorHAnsi"/>
          <w:color w:val="auto"/>
          <w:sz w:val="21"/>
          <w:szCs w:val="21"/>
          <w:lang w:val="en-AU"/>
        </w:rPr>
      </w:pPr>
      <w:bookmarkStart w:id="1" w:name="_Hlk106287679"/>
      <w:r w:rsidRPr="005C473B">
        <w:rPr>
          <w:rFonts w:ascii="Compatil Fact LT Pro" w:eastAsia="Calibri" w:hAnsi="Compatil Fact LT Pro" w:cstheme="majorHAnsi"/>
          <w:color w:val="auto"/>
          <w:sz w:val="21"/>
          <w:szCs w:val="21"/>
          <w:lang w:val="en-AU"/>
        </w:rPr>
        <w:t>Dear Client,</w:t>
      </w:r>
    </w:p>
    <w:p w14:paraId="6D69FD41" w14:textId="77777777" w:rsidR="005C473B" w:rsidRPr="005C473B" w:rsidRDefault="008674B7" w:rsidP="008674B7">
      <w:pPr>
        <w:spacing w:after="160" w:line="276" w:lineRule="auto"/>
        <w:ind w:right="0"/>
        <w:rPr>
          <w:rFonts w:ascii="Compatil Fact LT Pro" w:eastAsia="Calibri" w:hAnsi="Compatil Fact LT Pro" w:cstheme="majorHAnsi"/>
          <w:b/>
          <w:bCs/>
          <w:color w:val="auto"/>
          <w:sz w:val="21"/>
          <w:szCs w:val="21"/>
          <w:lang w:val="en-AU"/>
        </w:rPr>
      </w:pPr>
      <w:r w:rsidRPr="005C473B">
        <w:rPr>
          <w:rFonts w:ascii="Compatil Fact LT Pro" w:eastAsia="Calibri" w:hAnsi="Compatil Fact LT Pro" w:cstheme="majorHAnsi"/>
          <w:color w:val="auto"/>
          <w:sz w:val="21"/>
          <w:szCs w:val="21"/>
          <w:lang w:val="en-AU"/>
        </w:rPr>
        <w:t xml:space="preserve">In this note, we provide a short update on recent trade activity and changes to the </w:t>
      </w:r>
      <w:r w:rsidRPr="005C473B">
        <w:rPr>
          <w:rFonts w:ascii="Compatil Fact LT Pro" w:eastAsia="Calibri" w:hAnsi="Compatil Fact LT Pro" w:cstheme="majorHAnsi"/>
          <w:b/>
          <w:bCs/>
          <w:color w:val="auto"/>
          <w:sz w:val="21"/>
          <w:szCs w:val="21"/>
          <w:lang w:val="en-AU"/>
        </w:rPr>
        <w:t>Russell Investments Sustainable Managed Portfolio</w:t>
      </w:r>
      <w:r w:rsidR="005C473B" w:rsidRPr="005C473B">
        <w:rPr>
          <w:rFonts w:ascii="Compatil Fact LT Pro" w:eastAsia="Calibri" w:hAnsi="Compatil Fact LT Pro" w:cstheme="majorHAnsi"/>
          <w:b/>
          <w:bCs/>
          <w:color w:val="auto"/>
          <w:sz w:val="21"/>
          <w:szCs w:val="21"/>
          <w:lang w:val="en-AU"/>
        </w:rPr>
        <w:t>s.</w:t>
      </w:r>
    </w:p>
    <w:p w14:paraId="32826187" w14:textId="55E6E783" w:rsidR="008674B7" w:rsidRPr="009715CE" w:rsidRDefault="008674B7" w:rsidP="009715CE">
      <w:pPr>
        <w:pStyle w:val="Heading1"/>
        <w:spacing w:before="0" w:after="120" w:line="276" w:lineRule="auto"/>
        <w:rPr>
          <w:rFonts w:ascii="Compatil Fact LT Pro" w:hAnsi="Compatil Fact LT Pro"/>
          <w:color w:val="005596" w:themeColor="accent4"/>
          <w:sz w:val="24"/>
          <w:szCs w:val="28"/>
        </w:rPr>
      </w:pPr>
      <w:r w:rsidRPr="009715CE">
        <w:rPr>
          <w:rFonts w:ascii="Compatil Fact LT Pro" w:hAnsi="Compatil Fact LT Pro"/>
          <w:color w:val="005596" w:themeColor="accent4"/>
          <w:sz w:val="24"/>
          <w:szCs w:val="28"/>
        </w:rPr>
        <w:t>Summary of key changes</w:t>
      </w:r>
    </w:p>
    <w:p w14:paraId="4EE43BB4" w14:textId="3FF65D09" w:rsidR="008674B7" w:rsidRDefault="008674B7" w:rsidP="009715CE">
      <w:pPr>
        <w:pStyle w:val="ListParagraph"/>
        <w:numPr>
          <w:ilvl w:val="0"/>
          <w:numId w:val="26"/>
        </w:numPr>
        <w:spacing w:after="160" w:line="276" w:lineRule="auto"/>
        <w:rPr>
          <w:rFonts w:ascii="Compatil Fact LT Pro" w:eastAsia="Calibri" w:hAnsi="Compatil Fact LT Pro" w:cstheme="majorHAnsi"/>
          <w:sz w:val="21"/>
          <w:szCs w:val="21"/>
        </w:rPr>
      </w:pPr>
      <w:r w:rsidRPr="005C473B">
        <w:rPr>
          <w:rFonts w:ascii="Compatil Fact LT Pro" w:eastAsia="Calibri" w:hAnsi="Compatil Fact LT Pro" w:cstheme="majorHAnsi"/>
          <w:sz w:val="21"/>
          <w:szCs w:val="21"/>
        </w:rPr>
        <w:t xml:space="preserve">Rebalanced the direct Australian equity </w:t>
      </w:r>
      <w:r w:rsidR="00AB1313">
        <w:rPr>
          <w:rFonts w:ascii="Compatil Fact LT Pro" w:eastAsia="Calibri" w:hAnsi="Compatil Fact LT Pro" w:cstheme="majorHAnsi"/>
          <w:sz w:val="21"/>
          <w:szCs w:val="21"/>
        </w:rPr>
        <w:t xml:space="preserve">ESG </w:t>
      </w:r>
      <w:r w:rsidRPr="005C473B">
        <w:rPr>
          <w:rFonts w:ascii="Compatil Fact LT Pro" w:eastAsia="Calibri" w:hAnsi="Compatil Fact LT Pro" w:cstheme="majorHAnsi"/>
          <w:sz w:val="21"/>
          <w:szCs w:val="21"/>
        </w:rPr>
        <w:t>portfolio.</w:t>
      </w:r>
    </w:p>
    <w:p w14:paraId="17A36065" w14:textId="77777777" w:rsidR="00A9290B" w:rsidRDefault="00A9290B" w:rsidP="00A9290B">
      <w:pPr>
        <w:pStyle w:val="ListParagraph"/>
        <w:numPr>
          <w:ilvl w:val="0"/>
          <w:numId w:val="26"/>
        </w:numPr>
        <w:spacing w:after="160" w:line="276" w:lineRule="auto"/>
        <w:rPr>
          <w:rFonts w:ascii="Compatil Fact LT Pro" w:eastAsia="Calibri" w:hAnsi="Compatil Fact LT Pro" w:cstheme="majorHAnsi"/>
          <w:sz w:val="21"/>
          <w:szCs w:val="21"/>
        </w:rPr>
      </w:pPr>
      <w:r>
        <w:rPr>
          <w:rFonts w:ascii="Compatil Fact LT Pro" w:eastAsia="Calibri" w:hAnsi="Compatil Fact LT Pro" w:cstheme="majorHAnsi"/>
          <w:sz w:val="21"/>
          <w:szCs w:val="21"/>
        </w:rPr>
        <w:t>Increased exposure to global equities.</w:t>
      </w:r>
    </w:p>
    <w:p w14:paraId="18088D6B" w14:textId="451E49B0" w:rsidR="00DB6E41" w:rsidRDefault="00DB6E41" w:rsidP="009715CE">
      <w:pPr>
        <w:pStyle w:val="ListParagraph"/>
        <w:numPr>
          <w:ilvl w:val="0"/>
          <w:numId w:val="26"/>
        </w:numPr>
        <w:spacing w:after="160" w:line="276" w:lineRule="auto"/>
        <w:rPr>
          <w:rFonts w:ascii="Compatil Fact LT Pro" w:eastAsia="Calibri" w:hAnsi="Compatil Fact LT Pro" w:cstheme="majorHAnsi"/>
          <w:sz w:val="21"/>
          <w:szCs w:val="21"/>
        </w:rPr>
      </w:pPr>
      <w:r>
        <w:rPr>
          <w:rFonts w:ascii="Compatil Fact LT Pro" w:eastAsia="Calibri" w:hAnsi="Compatil Fact LT Pro" w:cstheme="majorHAnsi"/>
          <w:sz w:val="21"/>
          <w:szCs w:val="21"/>
        </w:rPr>
        <w:t>Reduced exposure to Australian equities.</w:t>
      </w:r>
    </w:p>
    <w:p w14:paraId="7271CB10" w14:textId="301367CA" w:rsidR="00D50F2F" w:rsidRPr="00647129" w:rsidRDefault="00D50F2F" w:rsidP="009715CE">
      <w:pPr>
        <w:pStyle w:val="ListParagraph"/>
        <w:numPr>
          <w:ilvl w:val="0"/>
          <w:numId w:val="26"/>
        </w:numPr>
        <w:spacing w:after="160" w:line="276" w:lineRule="auto"/>
        <w:rPr>
          <w:rFonts w:ascii="Compatil Fact LT Pro" w:eastAsia="Calibri" w:hAnsi="Compatil Fact LT Pro" w:cstheme="majorHAnsi"/>
          <w:sz w:val="21"/>
          <w:szCs w:val="21"/>
        </w:rPr>
      </w:pPr>
      <w:r>
        <w:rPr>
          <w:rFonts w:ascii="Compatil Fact LT Pro" w:eastAsia="Calibri" w:hAnsi="Compatil Fact LT Pro" w:cstheme="majorHAnsi"/>
          <w:sz w:val="21"/>
          <w:szCs w:val="21"/>
        </w:rPr>
        <w:t xml:space="preserve">Reduced exposure to global and Australian </w:t>
      </w:r>
      <w:r w:rsidRPr="00647129">
        <w:rPr>
          <w:rFonts w:ascii="Compatil Fact LT Pro" w:eastAsia="Calibri" w:hAnsi="Compatil Fact LT Pro" w:cstheme="majorHAnsi"/>
          <w:sz w:val="21"/>
          <w:szCs w:val="21"/>
        </w:rPr>
        <w:t>listed property.</w:t>
      </w:r>
    </w:p>
    <w:p w14:paraId="0DEE108F" w14:textId="043F5D56" w:rsidR="00D02102" w:rsidRPr="001E657A" w:rsidRDefault="00D02102" w:rsidP="005B14BB">
      <w:pPr>
        <w:pStyle w:val="ListParagraph"/>
        <w:numPr>
          <w:ilvl w:val="0"/>
          <w:numId w:val="26"/>
        </w:numPr>
        <w:spacing w:after="160" w:line="276" w:lineRule="auto"/>
        <w:rPr>
          <w:rFonts w:ascii="Compatil Fact LT Pro" w:eastAsia="Calibri" w:hAnsi="Compatil Fact LT Pro" w:cstheme="majorHAnsi"/>
          <w:sz w:val="21"/>
          <w:szCs w:val="21"/>
        </w:rPr>
      </w:pPr>
      <w:r w:rsidRPr="00876E82">
        <w:rPr>
          <w:rFonts w:ascii="Compatil Fact LT Pro" w:eastAsia="Calibri" w:hAnsi="Compatil Fact LT Pro" w:cstheme="majorHAnsi"/>
          <w:sz w:val="21"/>
          <w:szCs w:val="21"/>
        </w:rPr>
        <w:t>R</w:t>
      </w:r>
      <w:r w:rsidR="00647129" w:rsidRPr="00876E82">
        <w:rPr>
          <w:rFonts w:ascii="Compatil Fact LT Pro" w:eastAsia="Calibri" w:hAnsi="Compatil Fact LT Pro" w:cstheme="majorHAnsi"/>
          <w:sz w:val="21"/>
          <w:szCs w:val="21"/>
        </w:rPr>
        <w:t xml:space="preserve">educed exposure to </w:t>
      </w:r>
      <w:r w:rsidRPr="00876E82">
        <w:rPr>
          <w:rFonts w:ascii="Compatil Fact LT Pro" w:eastAsia="Calibri" w:hAnsi="Compatil Fact LT Pro" w:cstheme="majorHAnsi"/>
          <w:sz w:val="21"/>
          <w:szCs w:val="21"/>
        </w:rPr>
        <w:t xml:space="preserve">global </w:t>
      </w:r>
      <w:r w:rsidRPr="001E657A">
        <w:rPr>
          <w:rFonts w:ascii="Compatil Fact LT Pro" w:eastAsia="Calibri" w:hAnsi="Compatil Fact LT Pro" w:cstheme="majorHAnsi"/>
          <w:sz w:val="21"/>
          <w:szCs w:val="21"/>
        </w:rPr>
        <w:t>fixed income in favour o</w:t>
      </w:r>
      <w:r w:rsidR="00CE7A6F" w:rsidRPr="001E657A">
        <w:rPr>
          <w:rFonts w:ascii="Compatil Fact LT Pro" w:eastAsia="Calibri" w:hAnsi="Compatil Fact LT Pro" w:cstheme="majorHAnsi"/>
          <w:sz w:val="21"/>
          <w:szCs w:val="21"/>
        </w:rPr>
        <w:t xml:space="preserve">f </w:t>
      </w:r>
      <w:r w:rsidR="00BC48FC" w:rsidRPr="001E657A">
        <w:rPr>
          <w:rFonts w:ascii="Compatil Fact LT Pro" w:eastAsia="Calibri" w:hAnsi="Compatil Fact LT Pro" w:cstheme="majorHAnsi"/>
          <w:sz w:val="21"/>
          <w:szCs w:val="21"/>
        </w:rPr>
        <w:t>‘</w:t>
      </w:r>
      <w:r w:rsidR="00CE7A6F" w:rsidRPr="001E657A">
        <w:rPr>
          <w:rFonts w:ascii="Compatil Fact LT Pro" w:eastAsia="Calibri" w:hAnsi="Compatil Fact LT Pro" w:cstheme="majorHAnsi"/>
          <w:sz w:val="21"/>
          <w:szCs w:val="21"/>
        </w:rPr>
        <w:t>green</w:t>
      </w:r>
      <w:r w:rsidR="00BC48FC" w:rsidRPr="001E657A">
        <w:rPr>
          <w:rFonts w:ascii="Compatil Fact LT Pro" w:eastAsia="Calibri" w:hAnsi="Compatil Fact LT Pro" w:cstheme="majorHAnsi"/>
          <w:sz w:val="21"/>
          <w:szCs w:val="21"/>
        </w:rPr>
        <w:t>er’</w:t>
      </w:r>
      <w:r w:rsidR="00CE7A6F" w:rsidRPr="001E657A">
        <w:rPr>
          <w:rFonts w:ascii="Compatil Fact LT Pro" w:eastAsia="Calibri" w:hAnsi="Compatil Fact LT Pro" w:cstheme="majorHAnsi"/>
          <w:sz w:val="21"/>
          <w:szCs w:val="21"/>
        </w:rPr>
        <w:t xml:space="preserve"> credit.</w:t>
      </w:r>
    </w:p>
    <w:p w14:paraId="6F187861" w14:textId="606D95B0" w:rsidR="00647129" w:rsidRPr="001E657A" w:rsidRDefault="00876E82" w:rsidP="00B76715">
      <w:pPr>
        <w:pStyle w:val="ListParagraph"/>
        <w:numPr>
          <w:ilvl w:val="0"/>
          <w:numId w:val="26"/>
        </w:numPr>
        <w:spacing w:after="160" w:line="276" w:lineRule="auto"/>
        <w:rPr>
          <w:rFonts w:ascii="Compatil Fact LT Pro" w:eastAsia="Calibri" w:hAnsi="Compatil Fact LT Pro" w:cstheme="majorHAnsi"/>
          <w:sz w:val="21"/>
          <w:szCs w:val="21"/>
        </w:rPr>
      </w:pPr>
      <w:r w:rsidRPr="001E657A">
        <w:rPr>
          <w:rFonts w:ascii="Compatil Fact LT Pro" w:eastAsia="Calibri" w:hAnsi="Compatil Fact LT Pro" w:cstheme="majorHAnsi"/>
          <w:sz w:val="21"/>
          <w:szCs w:val="21"/>
        </w:rPr>
        <w:t xml:space="preserve">Adjusted the Portfolios’ allocation to </w:t>
      </w:r>
      <w:r w:rsidR="00647129" w:rsidRPr="001E657A">
        <w:rPr>
          <w:rFonts w:ascii="Compatil Fact LT Pro" w:eastAsia="Calibri" w:hAnsi="Compatil Fact LT Pro" w:cstheme="majorHAnsi"/>
          <w:sz w:val="21"/>
          <w:szCs w:val="21"/>
        </w:rPr>
        <w:t>Australian</w:t>
      </w:r>
      <w:r w:rsidRPr="001E657A">
        <w:rPr>
          <w:rFonts w:ascii="Compatil Fact LT Pro" w:eastAsia="Calibri" w:hAnsi="Compatil Fact LT Pro" w:cstheme="majorHAnsi"/>
          <w:sz w:val="21"/>
          <w:szCs w:val="21"/>
        </w:rPr>
        <w:t xml:space="preserve"> fixed income</w:t>
      </w:r>
      <w:r w:rsidR="001E657A" w:rsidRPr="001E657A">
        <w:rPr>
          <w:rFonts w:ascii="Compatil Fact LT Pro" w:eastAsia="Calibri" w:hAnsi="Compatil Fact LT Pro" w:cstheme="majorHAnsi"/>
          <w:sz w:val="21"/>
          <w:szCs w:val="21"/>
        </w:rPr>
        <w:t>, including short-term credit</w:t>
      </w:r>
      <w:r w:rsidRPr="001E657A">
        <w:rPr>
          <w:rFonts w:ascii="Compatil Fact LT Pro" w:eastAsia="Calibri" w:hAnsi="Compatil Fact LT Pro" w:cstheme="majorHAnsi"/>
          <w:sz w:val="21"/>
          <w:szCs w:val="21"/>
        </w:rPr>
        <w:t>.</w:t>
      </w:r>
    </w:p>
    <w:p w14:paraId="4E9DA539" w14:textId="0762A9CB" w:rsidR="005C473B" w:rsidRPr="00BC7F7E" w:rsidRDefault="005C473B" w:rsidP="00B76715">
      <w:pPr>
        <w:pStyle w:val="ListParagraph"/>
        <w:numPr>
          <w:ilvl w:val="0"/>
          <w:numId w:val="26"/>
        </w:numPr>
        <w:spacing w:after="160" w:line="276" w:lineRule="auto"/>
        <w:rPr>
          <w:rFonts w:ascii="Compatil Fact LT Pro" w:eastAsia="Calibri" w:hAnsi="Compatil Fact LT Pro" w:cstheme="majorHAnsi"/>
          <w:sz w:val="21"/>
          <w:szCs w:val="21"/>
        </w:rPr>
      </w:pPr>
      <w:r w:rsidRPr="001E657A">
        <w:rPr>
          <w:rFonts w:ascii="Compatil Fact LT Pro" w:eastAsia="Calibri" w:hAnsi="Compatil Fact LT Pro" w:cstheme="majorHAnsi"/>
          <w:sz w:val="21"/>
          <w:szCs w:val="21"/>
        </w:rPr>
        <w:t xml:space="preserve">Portfolios affected by these changes are the </w:t>
      </w:r>
      <w:r w:rsidRPr="001E657A">
        <w:rPr>
          <w:rFonts w:ascii="Compatil Fact LT Pro" w:eastAsia="Calibri" w:hAnsi="Compatil Fact LT Pro" w:cstheme="majorHAnsi"/>
          <w:b/>
          <w:bCs/>
          <w:sz w:val="21"/>
          <w:szCs w:val="21"/>
        </w:rPr>
        <w:t xml:space="preserve">Russell Investments Sustainable Managed Portfolio </w:t>
      </w:r>
      <w:r w:rsidRPr="00BC7F7E">
        <w:rPr>
          <w:rFonts w:ascii="Compatil Fact LT Pro" w:eastAsia="Calibri" w:hAnsi="Compatil Fact LT Pro" w:cstheme="majorHAnsi"/>
          <w:b/>
          <w:bCs/>
          <w:sz w:val="21"/>
          <w:szCs w:val="21"/>
        </w:rPr>
        <w:t>– Conservative</w:t>
      </w:r>
      <w:r w:rsidRPr="00BC7F7E">
        <w:rPr>
          <w:rFonts w:ascii="Compatil Fact LT Pro" w:eastAsia="Calibri" w:hAnsi="Compatil Fact LT Pro" w:cstheme="majorHAnsi"/>
          <w:sz w:val="21"/>
          <w:szCs w:val="21"/>
        </w:rPr>
        <w:t xml:space="preserve">, </w:t>
      </w:r>
      <w:r w:rsidRPr="00BC7F7E">
        <w:rPr>
          <w:rFonts w:ascii="Compatil Fact LT Pro" w:eastAsia="Calibri" w:hAnsi="Compatil Fact LT Pro" w:cstheme="majorHAnsi"/>
          <w:b/>
          <w:bCs/>
          <w:sz w:val="21"/>
          <w:szCs w:val="21"/>
        </w:rPr>
        <w:t>Diversified 50</w:t>
      </w:r>
      <w:r w:rsidRPr="00BC7F7E">
        <w:rPr>
          <w:rFonts w:ascii="Compatil Fact LT Pro" w:eastAsia="Calibri" w:hAnsi="Compatil Fact LT Pro" w:cstheme="majorHAnsi"/>
          <w:sz w:val="21"/>
          <w:szCs w:val="21"/>
        </w:rPr>
        <w:t xml:space="preserve">, </w:t>
      </w:r>
      <w:r w:rsidRPr="00BC7F7E">
        <w:rPr>
          <w:rFonts w:ascii="Compatil Fact LT Pro" w:eastAsia="Calibri" w:hAnsi="Compatil Fact LT Pro" w:cstheme="majorHAnsi"/>
          <w:b/>
          <w:bCs/>
          <w:sz w:val="21"/>
          <w:szCs w:val="21"/>
        </w:rPr>
        <w:t>Balanced</w:t>
      </w:r>
      <w:r w:rsidRPr="00BC7F7E">
        <w:rPr>
          <w:rFonts w:ascii="Compatil Fact LT Pro" w:eastAsia="Calibri" w:hAnsi="Compatil Fact LT Pro" w:cstheme="majorHAnsi"/>
          <w:sz w:val="21"/>
          <w:szCs w:val="21"/>
        </w:rPr>
        <w:t xml:space="preserve">, </w:t>
      </w:r>
      <w:r w:rsidRPr="00BC7F7E">
        <w:rPr>
          <w:rFonts w:ascii="Compatil Fact LT Pro" w:eastAsia="Calibri" w:hAnsi="Compatil Fact LT Pro" w:cstheme="majorHAnsi"/>
          <w:b/>
          <w:bCs/>
          <w:sz w:val="21"/>
          <w:szCs w:val="21"/>
        </w:rPr>
        <w:t>Growth</w:t>
      </w:r>
      <w:r w:rsidRPr="00BC7F7E">
        <w:rPr>
          <w:rFonts w:ascii="Compatil Fact LT Pro" w:eastAsia="Calibri" w:hAnsi="Compatil Fact LT Pro" w:cstheme="majorHAnsi"/>
          <w:sz w:val="21"/>
          <w:szCs w:val="21"/>
        </w:rPr>
        <w:t xml:space="preserve"> and </w:t>
      </w:r>
      <w:r w:rsidRPr="00BC7F7E">
        <w:rPr>
          <w:rFonts w:ascii="Compatil Fact LT Pro" w:eastAsia="Calibri" w:hAnsi="Compatil Fact LT Pro" w:cstheme="majorHAnsi"/>
          <w:b/>
          <w:bCs/>
          <w:sz w:val="21"/>
          <w:szCs w:val="21"/>
        </w:rPr>
        <w:t>High Growth</w:t>
      </w:r>
      <w:r w:rsidRPr="00BC7F7E">
        <w:rPr>
          <w:rFonts w:ascii="Compatil Fact LT Pro" w:eastAsia="Calibri" w:hAnsi="Compatil Fact LT Pro" w:cstheme="majorHAnsi"/>
          <w:sz w:val="21"/>
          <w:szCs w:val="21"/>
        </w:rPr>
        <w:t xml:space="preserve"> (Portfolios).</w:t>
      </w:r>
    </w:p>
    <w:p w14:paraId="57243DD7" w14:textId="77777777" w:rsidR="00A51474" w:rsidRDefault="00A51474" w:rsidP="00A51474">
      <w:pPr>
        <w:pStyle w:val="Heading1"/>
        <w:spacing w:before="0" w:after="120" w:line="276" w:lineRule="auto"/>
        <w:rPr>
          <w:rFonts w:ascii="Compatil Fact LT Pro" w:hAnsi="Compatil Fact LT Pro"/>
          <w:color w:val="005596" w:themeColor="accent4"/>
          <w:sz w:val="24"/>
          <w:szCs w:val="28"/>
        </w:rPr>
      </w:pPr>
      <w:r w:rsidRPr="00BC7F7E">
        <w:rPr>
          <w:rFonts w:ascii="Compatil Fact LT Pro" w:hAnsi="Compatil Fact LT Pro"/>
          <w:color w:val="005596" w:themeColor="accent4"/>
          <w:sz w:val="24"/>
          <w:szCs w:val="28"/>
        </w:rPr>
        <w:t>Rationale for portfolio changes</w:t>
      </w:r>
    </w:p>
    <w:p w14:paraId="51ADEF28" w14:textId="7E18CDD1" w:rsidR="00A51474" w:rsidRDefault="00A51474" w:rsidP="00A51474">
      <w:pPr>
        <w:spacing w:after="160" w:line="276" w:lineRule="auto"/>
        <w:ind w:right="0"/>
        <w:rPr>
          <w:rFonts w:ascii="Compatil Fact LT Pro" w:eastAsia="Calibri" w:hAnsi="Compatil Fact LT Pro" w:cstheme="majorHAnsi"/>
          <w:color w:val="auto"/>
          <w:sz w:val="21"/>
          <w:szCs w:val="21"/>
          <w:lang w:val="en-AU"/>
        </w:rPr>
      </w:pPr>
      <w:r w:rsidRPr="00A9290B">
        <w:rPr>
          <w:rFonts w:ascii="Compatil Fact LT Pro" w:eastAsia="Calibri" w:hAnsi="Compatil Fact LT Pro" w:cstheme="majorHAnsi"/>
          <w:color w:val="auto"/>
          <w:sz w:val="21"/>
          <w:szCs w:val="21"/>
          <w:lang w:val="en-AU"/>
        </w:rPr>
        <w:t xml:space="preserve">We rebalanced the direct Australian equity </w:t>
      </w:r>
      <w:r w:rsidR="00A9290B" w:rsidRPr="00A9290B">
        <w:rPr>
          <w:rFonts w:ascii="Compatil Fact LT Pro" w:eastAsia="Calibri" w:hAnsi="Compatil Fact LT Pro" w:cstheme="majorHAnsi"/>
          <w:color w:val="auto"/>
          <w:sz w:val="21"/>
          <w:szCs w:val="21"/>
          <w:lang w:val="en-AU"/>
        </w:rPr>
        <w:t xml:space="preserve">ESG </w:t>
      </w:r>
      <w:r w:rsidRPr="00A9290B">
        <w:rPr>
          <w:rFonts w:ascii="Compatil Fact LT Pro" w:eastAsia="Calibri" w:hAnsi="Compatil Fact LT Pro" w:cstheme="majorHAnsi"/>
          <w:color w:val="auto"/>
          <w:sz w:val="21"/>
          <w:szCs w:val="21"/>
          <w:lang w:val="en-AU"/>
        </w:rPr>
        <w:t>portfolio across all managed portfolios as part of the regular review cycle.</w:t>
      </w:r>
    </w:p>
    <w:p w14:paraId="21BC3113" w14:textId="01627DBA" w:rsidR="00A9290B" w:rsidRDefault="00A9290B" w:rsidP="00A51474">
      <w:pPr>
        <w:spacing w:after="160" w:line="276" w:lineRule="auto"/>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t>We also increased the Portfolios’ allocation to global equities</w:t>
      </w:r>
      <w:r w:rsidR="00AA0855">
        <w:rPr>
          <w:rFonts w:ascii="Compatil Fact LT Pro" w:eastAsia="Calibri" w:hAnsi="Compatil Fact LT Pro" w:cstheme="majorHAnsi"/>
          <w:color w:val="auto"/>
          <w:sz w:val="21"/>
          <w:szCs w:val="21"/>
          <w:lang w:val="en-AU"/>
        </w:rPr>
        <w:t xml:space="preserve">, with the </w:t>
      </w:r>
      <w:r>
        <w:rPr>
          <w:rFonts w:ascii="Compatil Fact LT Pro" w:eastAsia="Calibri" w:hAnsi="Compatil Fact LT Pro" w:cstheme="majorHAnsi"/>
          <w:color w:val="auto"/>
          <w:sz w:val="21"/>
          <w:szCs w:val="21"/>
          <w:lang w:val="en-AU"/>
        </w:rPr>
        <w:t xml:space="preserve">outlook for </w:t>
      </w:r>
      <w:r w:rsidR="00AA0855">
        <w:rPr>
          <w:rFonts w:ascii="Compatil Fact LT Pro" w:eastAsia="Calibri" w:hAnsi="Compatil Fact LT Pro" w:cstheme="majorHAnsi"/>
          <w:color w:val="auto"/>
          <w:sz w:val="21"/>
          <w:szCs w:val="21"/>
          <w:lang w:val="en-AU"/>
        </w:rPr>
        <w:t xml:space="preserve">the asset class having </w:t>
      </w:r>
      <w:r>
        <w:rPr>
          <w:rFonts w:ascii="Compatil Fact LT Pro" w:eastAsia="Calibri" w:hAnsi="Compatil Fact LT Pro" w:cstheme="majorHAnsi"/>
          <w:color w:val="auto"/>
          <w:sz w:val="21"/>
          <w:szCs w:val="21"/>
          <w:lang w:val="en-AU"/>
        </w:rPr>
        <w:t>improved amid easing recession risks and resilient corporate earnings.</w:t>
      </w:r>
      <w:r w:rsidR="00AA0855">
        <w:rPr>
          <w:rFonts w:ascii="Compatil Fact LT Pro" w:eastAsia="Calibri" w:hAnsi="Compatil Fact LT Pro" w:cstheme="majorHAnsi"/>
          <w:color w:val="auto"/>
          <w:sz w:val="21"/>
          <w:szCs w:val="21"/>
          <w:lang w:val="en-AU"/>
        </w:rPr>
        <w:t xml:space="preserve"> However, we</w:t>
      </w:r>
      <w:r>
        <w:rPr>
          <w:rFonts w:ascii="Compatil Fact LT Pro" w:eastAsia="Calibri" w:hAnsi="Compatil Fact LT Pro" w:cstheme="majorHAnsi"/>
          <w:color w:val="auto"/>
          <w:sz w:val="21"/>
          <w:szCs w:val="21"/>
          <w:lang w:val="en-AU"/>
        </w:rPr>
        <w:t xml:space="preserve"> reduced </w:t>
      </w:r>
      <w:r w:rsidR="00AA0855">
        <w:rPr>
          <w:rFonts w:ascii="Compatil Fact LT Pro" w:eastAsia="Calibri" w:hAnsi="Compatil Fact LT Pro" w:cstheme="majorHAnsi"/>
          <w:color w:val="auto"/>
          <w:sz w:val="21"/>
          <w:szCs w:val="21"/>
          <w:lang w:val="en-AU"/>
        </w:rPr>
        <w:t xml:space="preserve">our </w:t>
      </w:r>
      <w:r>
        <w:rPr>
          <w:rFonts w:ascii="Compatil Fact LT Pro" w:eastAsia="Calibri" w:hAnsi="Compatil Fact LT Pro" w:cstheme="majorHAnsi"/>
          <w:color w:val="auto"/>
          <w:sz w:val="21"/>
          <w:szCs w:val="21"/>
          <w:lang w:val="en-AU"/>
        </w:rPr>
        <w:t xml:space="preserve">exposure to Australian equities. Whilst Australian equities have continued to perform well in recent months, we believe they are currently </w:t>
      </w:r>
      <w:r w:rsidRPr="00B56917">
        <w:rPr>
          <w:rFonts w:ascii="Compatil Fact LT Pro" w:eastAsia="Calibri" w:hAnsi="Compatil Fact LT Pro" w:cstheme="majorHAnsi"/>
          <w:color w:val="auto"/>
          <w:sz w:val="21"/>
          <w:szCs w:val="21"/>
          <w:lang w:val="en-AU"/>
        </w:rPr>
        <w:t>priced for a lot of good n</w:t>
      </w:r>
      <w:r>
        <w:rPr>
          <w:rFonts w:ascii="Compatil Fact LT Pro" w:eastAsia="Calibri" w:hAnsi="Compatil Fact LT Pro" w:cstheme="majorHAnsi"/>
          <w:color w:val="auto"/>
          <w:sz w:val="21"/>
          <w:szCs w:val="21"/>
          <w:lang w:val="en-AU"/>
        </w:rPr>
        <w:t xml:space="preserve">ews and may be overlooking softer </w:t>
      </w:r>
      <w:r w:rsidRPr="00B56917">
        <w:rPr>
          <w:rFonts w:ascii="Compatil Fact LT Pro" w:eastAsia="Calibri" w:hAnsi="Compatil Fact LT Pro" w:cstheme="majorHAnsi"/>
          <w:color w:val="auto"/>
          <w:sz w:val="21"/>
          <w:szCs w:val="21"/>
          <w:lang w:val="en-AU"/>
        </w:rPr>
        <w:t>earnings expectatio</w:t>
      </w:r>
      <w:r>
        <w:rPr>
          <w:rFonts w:ascii="Compatil Fact LT Pro" w:eastAsia="Calibri" w:hAnsi="Compatil Fact LT Pro" w:cstheme="majorHAnsi"/>
          <w:color w:val="auto"/>
          <w:sz w:val="21"/>
          <w:szCs w:val="21"/>
          <w:lang w:val="en-AU"/>
        </w:rPr>
        <w:t>ns.</w:t>
      </w:r>
    </w:p>
    <w:p w14:paraId="78795DBD" w14:textId="43AA7827" w:rsidR="00A9290B" w:rsidRDefault="00AA0855" w:rsidP="00A9290B">
      <w:pPr>
        <w:spacing w:after="160" w:line="276" w:lineRule="auto"/>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t>In addition, we</w:t>
      </w:r>
      <w:r w:rsidR="00A9290B">
        <w:rPr>
          <w:rFonts w:ascii="Compatil Fact LT Pro" w:eastAsia="Calibri" w:hAnsi="Compatil Fact LT Pro" w:cstheme="majorHAnsi"/>
          <w:color w:val="auto"/>
          <w:sz w:val="21"/>
          <w:szCs w:val="21"/>
          <w:lang w:val="en-AU"/>
        </w:rPr>
        <w:t xml:space="preserve"> reduced </w:t>
      </w:r>
      <w:r>
        <w:rPr>
          <w:rFonts w:ascii="Compatil Fact LT Pro" w:eastAsia="Calibri" w:hAnsi="Compatil Fact LT Pro" w:cstheme="majorHAnsi"/>
          <w:color w:val="auto"/>
          <w:sz w:val="21"/>
          <w:szCs w:val="21"/>
          <w:lang w:val="en-AU"/>
        </w:rPr>
        <w:t xml:space="preserve">the Portfolios’ </w:t>
      </w:r>
      <w:r w:rsidR="00A9290B">
        <w:rPr>
          <w:rFonts w:ascii="Compatil Fact LT Pro" w:eastAsia="Calibri" w:hAnsi="Compatil Fact LT Pro" w:cstheme="majorHAnsi"/>
          <w:color w:val="auto"/>
          <w:sz w:val="21"/>
          <w:szCs w:val="21"/>
          <w:lang w:val="en-AU"/>
        </w:rPr>
        <w:t>exposure</w:t>
      </w:r>
      <w:r>
        <w:rPr>
          <w:rFonts w:ascii="Compatil Fact LT Pro" w:eastAsia="Calibri" w:hAnsi="Compatil Fact LT Pro" w:cstheme="majorHAnsi"/>
          <w:color w:val="auto"/>
          <w:sz w:val="21"/>
          <w:szCs w:val="21"/>
          <w:lang w:val="en-AU"/>
        </w:rPr>
        <w:t>s</w:t>
      </w:r>
      <w:r w:rsidR="00A9290B">
        <w:rPr>
          <w:rFonts w:ascii="Compatil Fact LT Pro" w:eastAsia="Calibri" w:hAnsi="Compatil Fact LT Pro" w:cstheme="majorHAnsi"/>
          <w:color w:val="auto"/>
          <w:sz w:val="21"/>
          <w:szCs w:val="21"/>
          <w:lang w:val="en-AU"/>
        </w:rPr>
        <w:t xml:space="preserve"> to global and Australian listed property</w:t>
      </w:r>
      <w:r>
        <w:rPr>
          <w:rFonts w:ascii="Compatil Fact LT Pro" w:eastAsia="Calibri" w:hAnsi="Compatil Fact LT Pro" w:cstheme="majorHAnsi"/>
          <w:color w:val="auto"/>
          <w:sz w:val="21"/>
          <w:szCs w:val="21"/>
          <w:lang w:val="en-AU"/>
        </w:rPr>
        <w:t xml:space="preserve"> as we now </w:t>
      </w:r>
      <w:r w:rsidR="00A9290B">
        <w:rPr>
          <w:rFonts w:ascii="Compatil Fact LT Pro" w:eastAsia="Calibri" w:hAnsi="Compatil Fact LT Pro" w:cstheme="majorHAnsi"/>
          <w:color w:val="auto"/>
          <w:sz w:val="21"/>
          <w:szCs w:val="21"/>
          <w:lang w:val="en-AU"/>
        </w:rPr>
        <w:t xml:space="preserve">view </w:t>
      </w:r>
      <w:r>
        <w:rPr>
          <w:rFonts w:ascii="Compatil Fact LT Pro" w:eastAsia="Calibri" w:hAnsi="Compatil Fact LT Pro" w:cstheme="majorHAnsi"/>
          <w:color w:val="auto"/>
          <w:sz w:val="21"/>
          <w:szCs w:val="21"/>
          <w:lang w:val="en-AU"/>
        </w:rPr>
        <w:t xml:space="preserve">these assets as </w:t>
      </w:r>
      <w:r w:rsidR="00A9290B">
        <w:rPr>
          <w:rFonts w:ascii="Compatil Fact LT Pro" w:eastAsia="Calibri" w:hAnsi="Compatil Fact LT Pro" w:cstheme="majorHAnsi"/>
          <w:color w:val="auto"/>
          <w:sz w:val="21"/>
          <w:szCs w:val="21"/>
          <w:lang w:val="en-AU"/>
        </w:rPr>
        <w:t xml:space="preserve">slightly expensive. </w:t>
      </w:r>
      <w:r>
        <w:rPr>
          <w:rFonts w:ascii="Compatil Fact LT Pro" w:eastAsia="Calibri" w:hAnsi="Compatil Fact LT Pro" w:cstheme="majorHAnsi"/>
          <w:color w:val="auto"/>
          <w:sz w:val="21"/>
          <w:szCs w:val="21"/>
          <w:lang w:val="en-AU"/>
        </w:rPr>
        <w:t>[</w:t>
      </w:r>
      <w:r w:rsidRPr="00AA0855">
        <w:rPr>
          <w:rFonts w:ascii="Compatil Fact LT Pro" w:eastAsia="Calibri" w:hAnsi="Compatil Fact LT Pro" w:cstheme="majorHAnsi"/>
          <w:i/>
          <w:iCs/>
          <w:color w:val="auto"/>
          <w:sz w:val="21"/>
          <w:szCs w:val="21"/>
          <w:lang w:val="en-AU"/>
        </w:rPr>
        <w:t>Note: T</w:t>
      </w:r>
      <w:r w:rsidR="00A9290B" w:rsidRPr="00AA0855">
        <w:rPr>
          <w:rFonts w:ascii="Compatil Fact LT Pro" w:eastAsia="Calibri" w:hAnsi="Compatil Fact LT Pro" w:cstheme="majorHAnsi"/>
          <w:i/>
          <w:iCs/>
          <w:color w:val="auto"/>
          <w:sz w:val="21"/>
          <w:szCs w:val="21"/>
          <w:lang w:val="en-AU"/>
        </w:rPr>
        <w:t xml:space="preserve">he Portfolios’ </w:t>
      </w:r>
      <w:r w:rsidRPr="00AA0855">
        <w:rPr>
          <w:rFonts w:ascii="Compatil Fact LT Pro" w:eastAsia="Calibri" w:hAnsi="Compatil Fact LT Pro" w:cstheme="majorHAnsi"/>
          <w:i/>
          <w:iCs/>
          <w:color w:val="auto"/>
          <w:sz w:val="21"/>
          <w:szCs w:val="21"/>
          <w:lang w:val="en-AU"/>
        </w:rPr>
        <w:t xml:space="preserve">allocation to </w:t>
      </w:r>
      <w:r w:rsidR="00A9290B" w:rsidRPr="00AA0855">
        <w:rPr>
          <w:rFonts w:ascii="Compatil Fact LT Pro" w:eastAsia="Calibri" w:hAnsi="Compatil Fact LT Pro" w:cstheme="majorHAnsi"/>
          <w:i/>
          <w:iCs/>
          <w:color w:val="auto"/>
          <w:sz w:val="21"/>
          <w:szCs w:val="21"/>
          <w:lang w:val="en-AU"/>
        </w:rPr>
        <w:t>global listed infrastructure</w:t>
      </w:r>
      <w:r w:rsidRPr="00AA0855">
        <w:rPr>
          <w:rFonts w:ascii="Compatil Fact LT Pro" w:eastAsia="Calibri" w:hAnsi="Compatil Fact LT Pro" w:cstheme="majorHAnsi"/>
          <w:i/>
          <w:iCs/>
          <w:color w:val="auto"/>
          <w:sz w:val="21"/>
          <w:szCs w:val="21"/>
          <w:lang w:val="en-AU"/>
        </w:rPr>
        <w:t xml:space="preserve"> </w:t>
      </w:r>
      <w:r>
        <w:rPr>
          <w:rFonts w:ascii="Compatil Fact LT Pro" w:eastAsia="Calibri" w:hAnsi="Compatil Fact LT Pro" w:cstheme="majorHAnsi"/>
          <w:i/>
          <w:iCs/>
          <w:color w:val="auto"/>
          <w:sz w:val="21"/>
          <w:szCs w:val="21"/>
          <w:lang w:val="en-AU"/>
        </w:rPr>
        <w:t>is</w:t>
      </w:r>
      <w:r w:rsidRPr="00AA0855">
        <w:rPr>
          <w:rFonts w:ascii="Compatil Fact LT Pro" w:eastAsia="Calibri" w:hAnsi="Compatil Fact LT Pro" w:cstheme="majorHAnsi"/>
          <w:i/>
          <w:iCs/>
          <w:color w:val="auto"/>
          <w:sz w:val="21"/>
          <w:szCs w:val="21"/>
          <w:lang w:val="en-AU"/>
        </w:rPr>
        <w:t xml:space="preserve"> unchanged, which will </w:t>
      </w:r>
      <w:r w:rsidR="00A9290B" w:rsidRPr="00AA0855">
        <w:rPr>
          <w:rFonts w:ascii="Compatil Fact LT Pro" w:eastAsia="Calibri" w:hAnsi="Compatil Fact LT Pro" w:cstheme="majorHAnsi"/>
          <w:i/>
          <w:iCs/>
          <w:color w:val="auto"/>
          <w:sz w:val="21"/>
          <w:szCs w:val="21"/>
          <w:lang w:val="en-AU"/>
        </w:rPr>
        <w:t>help</w:t>
      </w:r>
      <w:r w:rsidRPr="00AA0855">
        <w:rPr>
          <w:rFonts w:ascii="Compatil Fact LT Pro" w:eastAsia="Calibri" w:hAnsi="Compatil Fact LT Pro" w:cstheme="majorHAnsi"/>
          <w:i/>
          <w:iCs/>
          <w:color w:val="auto"/>
          <w:sz w:val="21"/>
          <w:szCs w:val="21"/>
          <w:lang w:val="en-AU"/>
        </w:rPr>
        <w:t xml:space="preserve"> </w:t>
      </w:r>
      <w:r w:rsidR="00A9290B" w:rsidRPr="00AA0855">
        <w:rPr>
          <w:rFonts w:ascii="Compatil Fact LT Pro" w:eastAsia="Calibri" w:hAnsi="Compatil Fact LT Pro" w:cstheme="majorHAnsi"/>
          <w:i/>
          <w:iCs/>
          <w:color w:val="auto"/>
          <w:sz w:val="21"/>
          <w:szCs w:val="21"/>
          <w:lang w:val="en-AU"/>
        </w:rPr>
        <w:t>maintain the diversification benefits that real assets provide.</w:t>
      </w:r>
      <w:r>
        <w:rPr>
          <w:rFonts w:ascii="Compatil Fact LT Pro" w:eastAsia="Calibri" w:hAnsi="Compatil Fact LT Pro" w:cstheme="majorHAnsi"/>
          <w:color w:val="auto"/>
          <w:sz w:val="21"/>
          <w:szCs w:val="21"/>
          <w:lang w:val="en-AU"/>
        </w:rPr>
        <w:t>]</w:t>
      </w:r>
    </w:p>
    <w:p w14:paraId="76817B51" w14:textId="428F96B4" w:rsidR="00876E82" w:rsidRPr="001E657A" w:rsidRDefault="00647129" w:rsidP="00A9290B">
      <w:pPr>
        <w:spacing w:after="160" w:line="276" w:lineRule="auto"/>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t>Within the fixed income space</w:t>
      </w:r>
      <w:r w:rsidRPr="001E657A">
        <w:rPr>
          <w:rFonts w:ascii="Compatil Fact LT Pro" w:eastAsia="Calibri" w:hAnsi="Compatil Fact LT Pro" w:cstheme="majorHAnsi"/>
          <w:color w:val="auto"/>
          <w:sz w:val="21"/>
          <w:szCs w:val="21"/>
          <w:lang w:val="en-AU"/>
        </w:rPr>
        <w:t xml:space="preserve">, we </w:t>
      </w:r>
      <w:r w:rsidR="006055D5">
        <w:rPr>
          <w:rFonts w:ascii="Compatil Fact LT Pro" w:eastAsia="Calibri" w:hAnsi="Compatil Fact LT Pro" w:cstheme="majorHAnsi"/>
          <w:color w:val="auto"/>
          <w:sz w:val="21"/>
          <w:szCs w:val="21"/>
          <w:lang w:val="en-AU"/>
        </w:rPr>
        <w:t>reduced some exposure to US Treasury bonds</w:t>
      </w:r>
      <w:r w:rsidRPr="001E657A">
        <w:rPr>
          <w:rFonts w:ascii="Compatil Fact LT Pro" w:eastAsia="Calibri" w:hAnsi="Compatil Fact LT Pro" w:cstheme="majorHAnsi"/>
          <w:color w:val="auto"/>
          <w:sz w:val="21"/>
          <w:szCs w:val="21"/>
          <w:lang w:val="en-AU"/>
        </w:rPr>
        <w:t xml:space="preserve"> in favour of green</w:t>
      </w:r>
      <w:r w:rsidR="00BC48FC" w:rsidRPr="001E657A">
        <w:rPr>
          <w:rFonts w:ascii="Compatil Fact LT Pro" w:eastAsia="Calibri" w:hAnsi="Compatil Fact LT Pro" w:cstheme="majorHAnsi"/>
          <w:color w:val="auto"/>
          <w:sz w:val="21"/>
          <w:szCs w:val="21"/>
          <w:lang w:val="en-AU"/>
        </w:rPr>
        <w:t>er</w:t>
      </w:r>
      <w:r w:rsidRPr="001E657A">
        <w:rPr>
          <w:rFonts w:ascii="Compatil Fact LT Pro" w:eastAsia="Calibri" w:hAnsi="Compatil Fact LT Pro" w:cstheme="majorHAnsi"/>
          <w:color w:val="auto"/>
          <w:sz w:val="21"/>
          <w:szCs w:val="21"/>
          <w:lang w:val="en-AU"/>
        </w:rPr>
        <w:t xml:space="preserve"> credit, including Robeco’s SDG Credit Income Fund. This</w:t>
      </w:r>
      <w:r w:rsidR="00876E82" w:rsidRPr="001E657A">
        <w:rPr>
          <w:rFonts w:ascii="Compatil Fact LT Pro" w:eastAsia="Calibri" w:hAnsi="Compatil Fact LT Pro" w:cstheme="majorHAnsi"/>
          <w:color w:val="auto"/>
          <w:sz w:val="21"/>
          <w:szCs w:val="21"/>
          <w:lang w:val="en-AU"/>
        </w:rPr>
        <w:t xml:space="preserve"> fund</w:t>
      </w:r>
      <w:r w:rsidR="00876E82" w:rsidRPr="00876E82">
        <w:rPr>
          <w:rFonts w:ascii="Compatil Fact LT Pro" w:eastAsia="Calibri" w:hAnsi="Compatil Fact LT Pro" w:cstheme="majorHAnsi"/>
          <w:color w:val="auto"/>
          <w:sz w:val="21"/>
          <w:szCs w:val="21"/>
          <w:lang w:val="en-AU"/>
        </w:rPr>
        <w:t xml:space="preserve"> is actively managed by Robeco’s experienced investment team, whose well-structured and disciplined investment approach combines top-down and bottom-up research to help manage risk and identify the best investment opportunities. With the flexibility to invest in all fixed income segments, the </w:t>
      </w:r>
      <w:r w:rsidR="00876E82" w:rsidRPr="001E657A">
        <w:rPr>
          <w:rFonts w:ascii="Compatil Fact LT Pro" w:eastAsia="Calibri" w:hAnsi="Compatil Fact LT Pro" w:cstheme="majorHAnsi"/>
          <w:color w:val="auto"/>
          <w:sz w:val="21"/>
          <w:szCs w:val="21"/>
          <w:lang w:val="en-AU"/>
        </w:rPr>
        <w:t>f</w:t>
      </w:r>
      <w:r w:rsidR="00876E82" w:rsidRPr="00876E82">
        <w:rPr>
          <w:rFonts w:ascii="Compatil Fact LT Pro" w:eastAsia="Calibri" w:hAnsi="Compatil Fact LT Pro" w:cstheme="majorHAnsi"/>
          <w:color w:val="auto"/>
          <w:sz w:val="21"/>
          <w:szCs w:val="21"/>
          <w:lang w:val="en-AU"/>
        </w:rPr>
        <w:t xml:space="preserve">und has the potential to provide an attractive and stable income throughout the credit cycle. In addition, the </w:t>
      </w:r>
      <w:r w:rsidR="00876E82" w:rsidRPr="001E657A">
        <w:rPr>
          <w:rFonts w:ascii="Compatil Fact LT Pro" w:eastAsia="Calibri" w:hAnsi="Compatil Fact LT Pro" w:cstheme="majorHAnsi"/>
          <w:color w:val="auto"/>
          <w:sz w:val="21"/>
          <w:szCs w:val="21"/>
          <w:lang w:val="en-AU"/>
        </w:rPr>
        <w:t>f</w:t>
      </w:r>
      <w:r w:rsidR="00876E82" w:rsidRPr="00876E82">
        <w:rPr>
          <w:rFonts w:ascii="Compatil Fact LT Pro" w:eastAsia="Calibri" w:hAnsi="Compatil Fact LT Pro" w:cstheme="majorHAnsi"/>
          <w:color w:val="auto"/>
          <w:sz w:val="21"/>
          <w:szCs w:val="21"/>
          <w:lang w:val="en-AU"/>
        </w:rPr>
        <w:t>und applies a screening process to select securities that contribute to realising the U</w:t>
      </w:r>
      <w:r w:rsidR="00C56FC4" w:rsidRPr="001E657A">
        <w:rPr>
          <w:rFonts w:ascii="Compatil Fact LT Pro" w:eastAsia="Calibri" w:hAnsi="Compatil Fact LT Pro" w:cstheme="majorHAnsi"/>
          <w:color w:val="auto"/>
          <w:sz w:val="21"/>
          <w:szCs w:val="21"/>
          <w:lang w:val="en-AU"/>
        </w:rPr>
        <w:t xml:space="preserve">nited </w:t>
      </w:r>
      <w:r w:rsidR="00876E82" w:rsidRPr="00876E82">
        <w:rPr>
          <w:rFonts w:ascii="Compatil Fact LT Pro" w:eastAsia="Calibri" w:hAnsi="Compatil Fact LT Pro" w:cstheme="majorHAnsi"/>
          <w:color w:val="auto"/>
          <w:sz w:val="21"/>
          <w:szCs w:val="21"/>
          <w:lang w:val="en-AU"/>
        </w:rPr>
        <w:t>N</w:t>
      </w:r>
      <w:r w:rsidR="00C56FC4" w:rsidRPr="001E657A">
        <w:rPr>
          <w:rFonts w:ascii="Compatil Fact LT Pro" w:eastAsia="Calibri" w:hAnsi="Compatil Fact LT Pro" w:cstheme="majorHAnsi"/>
          <w:color w:val="auto"/>
          <w:sz w:val="21"/>
          <w:szCs w:val="21"/>
          <w:lang w:val="en-AU"/>
        </w:rPr>
        <w:t>ations</w:t>
      </w:r>
      <w:r w:rsidR="00876E82" w:rsidRPr="00876E82">
        <w:rPr>
          <w:rFonts w:ascii="Compatil Fact LT Pro" w:eastAsia="Calibri" w:hAnsi="Compatil Fact LT Pro" w:cstheme="majorHAnsi"/>
          <w:color w:val="auto"/>
          <w:sz w:val="21"/>
          <w:szCs w:val="21"/>
          <w:lang w:val="en-AU"/>
        </w:rPr>
        <w:t xml:space="preserve"> Sustainable Development Goals.</w:t>
      </w:r>
    </w:p>
    <w:p w14:paraId="5723494B" w14:textId="17F4C784" w:rsidR="00647129" w:rsidRPr="001E657A" w:rsidRDefault="00647129" w:rsidP="00A9290B">
      <w:pPr>
        <w:spacing w:after="160" w:line="276" w:lineRule="auto"/>
        <w:ind w:right="0"/>
        <w:rPr>
          <w:rFonts w:ascii="Compatil Fact LT Pro" w:eastAsia="Calibri" w:hAnsi="Compatil Fact LT Pro" w:cstheme="majorHAnsi"/>
          <w:color w:val="auto"/>
          <w:sz w:val="21"/>
          <w:szCs w:val="21"/>
          <w:lang w:val="en-AU"/>
        </w:rPr>
      </w:pPr>
      <w:r w:rsidRPr="001E657A">
        <w:rPr>
          <w:rFonts w:ascii="Compatil Fact LT Pro" w:eastAsia="Calibri" w:hAnsi="Compatil Fact LT Pro" w:cstheme="majorHAnsi"/>
          <w:color w:val="auto"/>
          <w:sz w:val="21"/>
          <w:szCs w:val="21"/>
          <w:lang w:val="en-AU"/>
        </w:rPr>
        <w:t>We also adjusted the Portfolios’ Australian fixed income exposure</w:t>
      </w:r>
      <w:r w:rsidR="001E657A" w:rsidRPr="001E657A">
        <w:rPr>
          <w:rFonts w:ascii="Compatil Fact LT Pro" w:eastAsia="Calibri" w:hAnsi="Compatil Fact LT Pro" w:cstheme="majorHAnsi"/>
          <w:color w:val="auto"/>
          <w:sz w:val="21"/>
          <w:szCs w:val="21"/>
          <w:lang w:val="en-AU"/>
        </w:rPr>
        <w:t>, including short-term credit</w:t>
      </w:r>
      <w:r w:rsidRPr="001E657A">
        <w:rPr>
          <w:rFonts w:ascii="Compatil Fact LT Pro" w:eastAsia="Calibri" w:hAnsi="Compatil Fact LT Pro" w:cstheme="majorHAnsi"/>
          <w:color w:val="auto"/>
          <w:sz w:val="21"/>
          <w:szCs w:val="21"/>
          <w:lang w:val="en-AU"/>
        </w:rPr>
        <w:t>.</w:t>
      </w:r>
    </w:p>
    <w:p w14:paraId="155F9287" w14:textId="77777777" w:rsidR="001E657A" w:rsidRDefault="001E657A">
      <w:pPr>
        <w:spacing w:after="0"/>
        <w:ind w:right="0"/>
        <w:rPr>
          <w:rFonts w:ascii="Compatil Fact LT Pro" w:eastAsiaTheme="majorEastAsia" w:hAnsi="Compatil Fact LT Pro" w:cstheme="majorBidi"/>
          <w:b/>
          <w:color w:val="005596" w:themeColor="accent4"/>
          <w:sz w:val="24"/>
          <w:szCs w:val="28"/>
        </w:rPr>
      </w:pPr>
      <w:r>
        <w:rPr>
          <w:rFonts w:ascii="Compatil Fact LT Pro" w:hAnsi="Compatil Fact LT Pro"/>
          <w:color w:val="005596" w:themeColor="accent4"/>
          <w:sz w:val="24"/>
          <w:szCs w:val="28"/>
        </w:rPr>
        <w:br w:type="page"/>
      </w:r>
    </w:p>
    <w:p w14:paraId="35127999" w14:textId="5D79668A" w:rsidR="008674B7" w:rsidRPr="00A8377E" w:rsidRDefault="00A052F4" w:rsidP="002B3E2F">
      <w:pPr>
        <w:pStyle w:val="Heading1"/>
        <w:spacing w:before="0" w:after="120" w:line="276" w:lineRule="auto"/>
        <w:rPr>
          <w:rFonts w:ascii="Compatil Fact LT Pro" w:hAnsi="Compatil Fact LT Pro"/>
          <w:color w:val="005596" w:themeColor="accent4"/>
          <w:sz w:val="24"/>
          <w:szCs w:val="28"/>
        </w:rPr>
      </w:pPr>
      <w:r>
        <w:rPr>
          <w:rFonts w:ascii="Compatil Fact LT Pro" w:hAnsi="Compatil Fact LT Pro"/>
          <w:color w:val="005596" w:themeColor="accent4"/>
          <w:sz w:val="24"/>
          <w:szCs w:val="28"/>
        </w:rPr>
        <w:lastRenderedPageBreak/>
        <w:t>Specific portfolio changes</w:t>
      </w:r>
    </w:p>
    <w:p w14:paraId="2B171427" w14:textId="5563A70D" w:rsidR="00A052F4" w:rsidRPr="00F17AD6" w:rsidRDefault="00A052F4" w:rsidP="00A052F4">
      <w:pPr>
        <w:spacing w:after="160" w:line="276" w:lineRule="auto"/>
        <w:ind w:right="0"/>
        <w:rPr>
          <w:rFonts w:ascii="Compatil Fact LT Pro" w:eastAsia="Calibri" w:hAnsi="Compatil Fact LT Pro" w:cstheme="majorHAnsi"/>
          <w:b/>
          <w:bCs/>
          <w:color w:val="auto"/>
          <w:sz w:val="21"/>
          <w:szCs w:val="21"/>
          <w:lang w:val="en-AU"/>
        </w:rPr>
      </w:pPr>
      <w:r w:rsidRPr="00F17AD6">
        <w:rPr>
          <w:rFonts w:ascii="Compatil Fact LT Pro" w:eastAsia="Calibri" w:hAnsi="Compatil Fact LT Pro" w:cstheme="majorHAnsi"/>
          <w:b/>
          <w:bCs/>
          <w:color w:val="auto"/>
          <w:sz w:val="21"/>
          <w:szCs w:val="21"/>
          <w:lang w:val="en-AU"/>
        </w:rPr>
        <w:t xml:space="preserve">Direct Australian equity </w:t>
      </w:r>
      <w:r w:rsidR="00952B22">
        <w:rPr>
          <w:rFonts w:ascii="Compatil Fact LT Pro" w:eastAsia="Calibri" w:hAnsi="Compatil Fact LT Pro" w:cstheme="majorHAnsi"/>
          <w:b/>
          <w:bCs/>
          <w:color w:val="auto"/>
          <w:sz w:val="21"/>
          <w:szCs w:val="21"/>
          <w:lang w:val="en-AU"/>
        </w:rPr>
        <w:t xml:space="preserve">ESG </w:t>
      </w:r>
      <w:r w:rsidRPr="00F17AD6">
        <w:rPr>
          <w:rFonts w:ascii="Compatil Fact LT Pro" w:eastAsia="Calibri" w:hAnsi="Compatil Fact LT Pro" w:cstheme="majorHAnsi"/>
          <w:b/>
          <w:bCs/>
          <w:color w:val="auto"/>
          <w:sz w:val="21"/>
          <w:szCs w:val="21"/>
          <w:lang w:val="en-AU"/>
        </w:rPr>
        <w:t>portfolio</w:t>
      </w:r>
    </w:p>
    <w:p w14:paraId="20CFB1B5" w14:textId="4D7405BA" w:rsidR="008674B7" w:rsidRPr="00A8377E" w:rsidRDefault="008674B7" w:rsidP="008674B7">
      <w:pPr>
        <w:spacing w:after="160" w:line="276" w:lineRule="auto"/>
        <w:ind w:right="0"/>
        <w:rPr>
          <w:rFonts w:ascii="Compatil Fact LT Pro" w:eastAsia="Calibri" w:hAnsi="Compatil Fact LT Pro" w:cstheme="majorHAnsi"/>
          <w:color w:val="auto"/>
          <w:sz w:val="21"/>
          <w:szCs w:val="21"/>
          <w:lang w:val="en-AU"/>
        </w:rPr>
      </w:pPr>
      <w:r w:rsidRPr="00A8377E">
        <w:rPr>
          <w:rFonts w:ascii="Compatil Fact LT Pro" w:eastAsia="Calibri" w:hAnsi="Compatil Fact LT Pro" w:cstheme="majorHAnsi"/>
          <w:color w:val="auto"/>
          <w:sz w:val="21"/>
          <w:szCs w:val="21"/>
          <w:lang w:val="en-AU"/>
        </w:rPr>
        <w:t xml:space="preserve">The direct Australian equity </w:t>
      </w:r>
      <w:r w:rsidR="00952B22">
        <w:rPr>
          <w:rFonts w:ascii="Compatil Fact LT Pro" w:eastAsia="Calibri" w:hAnsi="Compatil Fact LT Pro" w:cstheme="majorHAnsi"/>
          <w:color w:val="auto"/>
          <w:sz w:val="21"/>
          <w:szCs w:val="21"/>
          <w:lang w:val="en-AU"/>
        </w:rPr>
        <w:t xml:space="preserve">ESG </w:t>
      </w:r>
      <w:r w:rsidRPr="00A8377E">
        <w:rPr>
          <w:rFonts w:ascii="Compatil Fact LT Pro" w:eastAsia="Calibri" w:hAnsi="Compatil Fact LT Pro" w:cstheme="majorHAnsi"/>
          <w:color w:val="auto"/>
          <w:sz w:val="21"/>
          <w:szCs w:val="21"/>
          <w:lang w:val="en-AU"/>
        </w:rPr>
        <w:t>portfolio is rebalanced semi-annually. The purpose of rebalancing is to ensure the portfolio’s holdings are in line with the underlying investment strategy. We do this by buying and/or selling shares.</w:t>
      </w:r>
    </w:p>
    <w:p w14:paraId="180FD39D" w14:textId="4CDE5996" w:rsidR="00A51474" w:rsidRDefault="00927120" w:rsidP="00927120">
      <w:pPr>
        <w:spacing w:after="160" w:line="276" w:lineRule="auto"/>
        <w:ind w:right="0"/>
        <w:rPr>
          <w:rFonts w:ascii="Compatil Fact LT Pro" w:eastAsia="Calibri" w:hAnsi="Compatil Fact LT Pro" w:cstheme="majorHAnsi"/>
          <w:color w:val="auto"/>
          <w:sz w:val="21"/>
          <w:szCs w:val="21"/>
          <w:lang w:val="en-AU"/>
        </w:rPr>
      </w:pPr>
      <w:r w:rsidRPr="00927120">
        <w:rPr>
          <w:rFonts w:ascii="Compatil Fact LT Pro" w:eastAsia="Calibri" w:hAnsi="Compatil Fact LT Pro" w:cstheme="majorHAnsi"/>
          <w:color w:val="auto"/>
          <w:sz w:val="21"/>
          <w:szCs w:val="21"/>
          <w:lang w:val="en-AU"/>
        </w:rPr>
        <w:t>As part of this latest rebalancing, we bought into</w:t>
      </w:r>
      <w:r w:rsidR="008A65E8">
        <w:rPr>
          <w:rFonts w:ascii="Compatil Fact LT Pro" w:eastAsia="Calibri" w:hAnsi="Compatil Fact LT Pro" w:cstheme="majorHAnsi"/>
          <w:color w:val="auto"/>
          <w:sz w:val="21"/>
          <w:szCs w:val="21"/>
          <w:lang w:val="en-AU"/>
        </w:rPr>
        <w:t xml:space="preserve"> </w:t>
      </w:r>
      <w:r w:rsidR="00A409E2">
        <w:rPr>
          <w:rFonts w:ascii="Compatil Fact LT Pro" w:eastAsia="Calibri" w:hAnsi="Compatil Fact LT Pro" w:cstheme="majorHAnsi"/>
          <w:color w:val="auto"/>
          <w:sz w:val="21"/>
          <w:szCs w:val="21"/>
          <w:lang w:val="en-AU"/>
        </w:rPr>
        <w:t xml:space="preserve">the </w:t>
      </w:r>
      <w:r w:rsidR="008A65E8">
        <w:rPr>
          <w:rFonts w:ascii="Compatil Fact LT Pro" w:eastAsia="Calibri" w:hAnsi="Compatil Fact LT Pro" w:cstheme="majorHAnsi"/>
          <w:color w:val="auto"/>
          <w:sz w:val="21"/>
          <w:szCs w:val="21"/>
          <w:lang w:val="en-AU"/>
        </w:rPr>
        <w:t>industrials, consumer staples and consumer discretionary</w:t>
      </w:r>
      <w:r w:rsidR="00A409E2">
        <w:rPr>
          <w:rFonts w:ascii="Compatil Fact LT Pro" w:eastAsia="Calibri" w:hAnsi="Compatil Fact LT Pro" w:cstheme="majorHAnsi"/>
          <w:color w:val="auto"/>
          <w:sz w:val="21"/>
          <w:szCs w:val="21"/>
          <w:lang w:val="en-AU"/>
        </w:rPr>
        <w:t xml:space="preserve"> sectors, </w:t>
      </w:r>
      <w:r w:rsidR="008A65E8">
        <w:rPr>
          <w:rFonts w:ascii="Compatil Fact LT Pro" w:eastAsia="Calibri" w:hAnsi="Compatil Fact LT Pro" w:cstheme="majorHAnsi"/>
          <w:color w:val="auto"/>
          <w:sz w:val="21"/>
          <w:szCs w:val="21"/>
          <w:lang w:val="en-AU"/>
        </w:rPr>
        <w:t>and sold out of healthcare, information technology and financials</w:t>
      </w:r>
      <w:r w:rsidRPr="00927120">
        <w:rPr>
          <w:rFonts w:ascii="Compatil Fact LT Pro" w:eastAsia="Calibri" w:hAnsi="Compatil Fact LT Pro" w:cstheme="majorHAnsi"/>
          <w:color w:val="auto"/>
          <w:sz w:val="21"/>
          <w:szCs w:val="21"/>
          <w:lang w:val="en-AU"/>
        </w:rPr>
        <w:t>.</w:t>
      </w:r>
      <w:r w:rsidR="00952B22">
        <w:rPr>
          <w:rFonts w:ascii="Compatil Fact LT Pro" w:eastAsia="Calibri" w:hAnsi="Compatil Fact LT Pro" w:cstheme="majorHAnsi"/>
          <w:color w:val="auto"/>
          <w:sz w:val="21"/>
          <w:szCs w:val="21"/>
          <w:lang w:val="en-AU"/>
        </w:rPr>
        <w:t xml:space="preserve"> Among the stocks we added were </w:t>
      </w:r>
      <w:r w:rsidR="00952B22" w:rsidRPr="00952B22">
        <w:rPr>
          <w:rFonts w:ascii="Compatil Fact LT Pro" w:eastAsia="Calibri" w:hAnsi="Compatil Fact LT Pro" w:cstheme="majorHAnsi"/>
          <w:color w:val="auto"/>
          <w:sz w:val="21"/>
          <w:szCs w:val="21"/>
          <w:lang w:val="en-AU"/>
        </w:rPr>
        <w:t>Reliance</w:t>
      </w:r>
      <w:r w:rsidR="00952B22">
        <w:rPr>
          <w:rFonts w:ascii="Compatil Fact LT Pro" w:eastAsia="Calibri" w:hAnsi="Compatil Fact LT Pro" w:cstheme="majorHAnsi"/>
          <w:color w:val="auto"/>
          <w:sz w:val="21"/>
          <w:szCs w:val="21"/>
          <w:lang w:val="en-AU"/>
        </w:rPr>
        <w:t xml:space="preserve"> Worldwide</w:t>
      </w:r>
      <w:r w:rsidR="00952B22" w:rsidRPr="00952B22">
        <w:rPr>
          <w:rFonts w:ascii="Compatil Fact LT Pro" w:eastAsia="Calibri" w:hAnsi="Compatil Fact LT Pro" w:cstheme="majorHAnsi"/>
          <w:color w:val="auto"/>
          <w:sz w:val="21"/>
          <w:szCs w:val="21"/>
          <w:lang w:val="en-AU"/>
        </w:rPr>
        <w:t>, Worley</w:t>
      </w:r>
      <w:r w:rsidR="00952B22">
        <w:rPr>
          <w:rFonts w:ascii="Compatil Fact LT Pro" w:eastAsia="Calibri" w:hAnsi="Compatil Fact LT Pro" w:cstheme="majorHAnsi"/>
          <w:color w:val="auto"/>
          <w:sz w:val="21"/>
          <w:szCs w:val="21"/>
          <w:lang w:val="en-AU"/>
        </w:rPr>
        <w:t xml:space="preserve"> Ltd.</w:t>
      </w:r>
      <w:r w:rsidR="00952B22" w:rsidRPr="00952B22">
        <w:rPr>
          <w:rFonts w:ascii="Compatil Fact LT Pro" w:eastAsia="Calibri" w:hAnsi="Compatil Fact LT Pro" w:cstheme="majorHAnsi"/>
          <w:color w:val="auto"/>
          <w:sz w:val="21"/>
          <w:szCs w:val="21"/>
          <w:lang w:val="en-AU"/>
        </w:rPr>
        <w:t>, Flight Centre and</w:t>
      </w:r>
      <w:r w:rsidR="00952B22">
        <w:rPr>
          <w:rFonts w:ascii="Compatil Fact LT Pro" w:eastAsia="Calibri" w:hAnsi="Compatil Fact LT Pro" w:cstheme="majorHAnsi"/>
          <w:color w:val="auto"/>
          <w:sz w:val="21"/>
          <w:szCs w:val="21"/>
          <w:lang w:val="en-AU"/>
        </w:rPr>
        <w:t xml:space="preserve"> </w:t>
      </w:r>
      <w:r w:rsidR="00952B22" w:rsidRPr="00952B22">
        <w:rPr>
          <w:rFonts w:ascii="Compatil Fact LT Pro" w:eastAsia="Calibri" w:hAnsi="Compatil Fact LT Pro" w:cstheme="majorHAnsi"/>
          <w:color w:val="auto"/>
          <w:sz w:val="21"/>
          <w:szCs w:val="21"/>
          <w:lang w:val="en-AU"/>
        </w:rPr>
        <w:t>Evolution Mining.</w:t>
      </w:r>
      <w:r w:rsidR="00952B22">
        <w:rPr>
          <w:rFonts w:ascii="Compatil Fact LT Pro" w:eastAsia="Calibri" w:hAnsi="Compatil Fact LT Pro" w:cstheme="majorHAnsi"/>
          <w:color w:val="auto"/>
          <w:sz w:val="21"/>
          <w:szCs w:val="21"/>
          <w:lang w:val="en-AU"/>
        </w:rPr>
        <w:t xml:space="preserve"> These </w:t>
      </w:r>
      <w:r w:rsidR="001637B1">
        <w:rPr>
          <w:rFonts w:ascii="Compatil Fact LT Pro" w:eastAsia="Calibri" w:hAnsi="Compatil Fact LT Pro" w:cstheme="majorHAnsi"/>
          <w:color w:val="auto"/>
          <w:sz w:val="21"/>
          <w:szCs w:val="21"/>
          <w:lang w:val="en-AU"/>
        </w:rPr>
        <w:t>stocks provide the portfolio with</w:t>
      </w:r>
      <w:r w:rsidR="00952B22" w:rsidRPr="00952B22">
        <w:rPr>
          <w:rFonts w:ascii="Compatil Fact LT Pro" w:eastAsia="Calibri" w:hAnsi="Compatil Fact LT Pro" w:cstheme="majorHAnsi"/>
          <w:color w:val="auto"/>
          <w:sz w:val="21"/>
          <w:szCs w:val="21"/>
          <w:lang w:val="en-AU"/>
        </w:rPr>
        <w:t xml:space="preserve"> </w:t>
      </w:r>
      <w:r w:rsidR="001637B1">
        <w:rPr>
          <w:rFonts w:ascii="Compatil Fact LT Pro" w:eastAsia="Calibri" w:hAnsi="Compatil Fact LT Pro" w:cstheme="majorHAnsi"/>
          <w:color w:val="auto"/>
          <w:sz w:val="21"/>
          <w:szCs w:val="21"/>
          <w:lang w:val="en-AU"/>
        </w:rPr>
        <w:t>some</w:t>
      </w:r>
      <w:r w:rsidR="00952B22" w:rsidRPr="00952B22">
        <w:rPr>
          <w:rFonts w:ascii="Compatil Fact LT Pro" w:eastAsia="Calibri" w:hAnsi="Compatil Fact LT Pro" w:cstheme="majorHAnsi"/>
          <w:color w:val="auto"/>
          <w:sz w:val="21"/>
          <w:szCs w:val="21"/>
          <w:lang w:val="en-AU"/>
        </w:rPr>
        <w:t xml:space="preserve"> quality, momentum and value exposure</w:t>
      </w:r>
      <w:r w:rsidR="001637B1">
        <w:rPr>
          <w:rFonts w:ascii="Compatil Fact LT Pro" w:eastAsia="Calibri" w:hAnsi="Compatil Fact LT Pro" w:cstheme="majorHAnsi"/>
          <w:color w:val="auto"/>
          <w:sz w:val="21"/>
          <w:szCs w:val="21"/>
          <w:lang w:val="en-AU"/>
        </w:rPr>
        <w:t xml:space="preserve">. </w:t>
      </w:r>
      <w:r w:rsidRPr="00927120">
        <w:rPr>
          <w:rFonts w:ascii="Compatil Fact LT Pro" w:eastAsia="Calibri" w:hAnsi="Compatil Fact LT Pro" w:cstheme="majorHAnsi"/>
          <w:color w:val="auto"/>
          <w:sz w:val="21"/>
          <w:szCs w:val="21"/>
          <w:lang w:val="en-AU"/>
        </w:rPr>
        <w:t xml:space="preserve">In terms of </w:t>
      </w:r>
      <w:r w:rsidR="001637B1">
        <w:rPr>
          <w:rFonts w:ascii="Compatil Fact LT Pro" w:eastAsia="Calibri" w:hAnsi="Compatil Fact LT Pro" w:cstheme="majorHAnsi"/>
          <w:color w:val="auto"/>
          <w:sz w:val="21"/>
          <w:szCs w:val="21"/>
          <w:lang w:val="en-AU"/>
        </w:rPr>
        <w:t xml:space="preserve">overall </w:t>
      </w:r>
      <w:r w:rsidRPr="00927120">
        <w:rPr>
          <w:rFonts w:ascii="Compatil Fact LT Pro" w:eastAsia="Calibri" w:hAnsi="Compatil Fact LT Pro" w:cstheme="majorHAnsi"/>
          <w:color w:val="auto"/>
          <w:sz w:val="21"/>
          <w:szCs w:val="21"/>
          <w:lang w:val="en-AU"/>
        </w:rPr>
        <w:t>factor exposure, the portfolio is positione</w:t>
      </w:r>
      <w:r w:rsidRPr="008A65E8">
        <w:rPr>
          <w:rFonts w:ascii="Compatil Fact LT Pro" w:eastAsia="Calibri" w:hAnsi="Compatil Fact LT Pro" w:cstheme="majorHAnsi"/>
          <w:color w:val="auto"/>
          <w:sz w:val="21"/>
          <w:szCs w:val="21"/>
          <w:lang w:val="en-AU"/>
        </w:rPr>
        <w:t xml:space="preserve">d with modest overweights to </w:t>
      </w:r>
      <w:r w:rsidR="008A65E8" w:rsidRPr="008A65E8">
        <w:rPr>
          <w:rFonts w:ascii="Compatil Fact LT Pro" w:eastAsia="Calibri" w:hAnsi="Compatil Fact LT Pro" w:cstheme="majorHAnsi"/>
          <w:color w:val="auto"/>
          <w:sz w:val="21"/>
          <w:szCs w:val="21"/>
          <w:lang w:val="en-AU"/>
        </w:rPr>
        <w:t>value</w:t>
      </w:r>
      <w:r w:rsidRPr="008A65E8">
        <w:rPr>
          <w:rFonts w:ascii="Compatil Fact LT Pro" w:eastAsia="Calibri" w:hAnsi="Compatil Fact LT Pro" w:cstheme="majorHAnsi"/>
          <w:color w:val="auto"/>
          <w:sz w:val="21"/>
          <w:szCs w:val="21"/>
          <w:lang w:val="en-AU"/>
        </w:rPr>
        <w:t>,</w:t>
      </w:r>
      <w:r w:rsidR="008A65E8" w:rsidRPr="008A65E8">
        <w:rPr>
          <w:rFonts w:ascii="Compatil Fact LT Pro" w:eastAsia="Calibri" w:hAnsi="Compatil Fact LT Pro" w:cstheme="majorHAnsi"/>
          <w:color w:val="auto"/>
          <w:sz w:val="21"/>
          <w:szCs w:val="21"/>
          <w:lang w:val="en-AU"/>
        </w:rPr>
        <w:t xml:space="preserve"> momentum, low volatility and quality</w:t>
      </w:r>
      <w:r w:rsidR="00A409E2">
        <w:rPr>
          <w:rFonts w:ascii="Compatil Fact LT Pro" w:eastAsia="Calibri" w:hAnsi="Compatil Fact LT Pro" w:cstheme="majorHAnsi"/>
          <w:color w:val="auto"/>
          <w:sz w:val="21"/>
          <w:szCs w:val="21"/>
          <w:lang w:val="en-AU"/>
        </w:rPr>
        <w:t>,</w:t>
      </w:r>
      <w:r w:rsidR="008A65E8" w:rsidRPr="008A65E8">
        <w:rPr>
          <w:rFonts w:ascii="Compatil Fact LT Pro" w:eastAsia="Calibri" w:hAnsi="Compatil Fact LT Pro" w:cstheme="majorHAnsi"/>
          <w:color w:val="auto"/>
          <w:sz w:val="21"/>
          <w:szCs w:val="21"/>
          <w:lang w:val="en-AU"/>
        </w:rPr>
        <w:t xml:space="preserve"> while </w:t>
      </w:r>
      <w:r w:rsidR="00A409E2">
        <w:rPr>
          <w:rFonts w:ascii="Compatil Fact LT Pro" w:eastAsia="Calibri" w:hAnsi="Compatil Fact LT Pro" w:cstheme="majorHAnsi"/>
          <w:color w:val="auto"/>
          <w:sz w:val="21"/>
          <w:szCs w:val="21"/>
          <w:lang w:val="en-AU"/>
        </w:rPr>
        <w:t xml:space="preserve">remaining </w:t>
      </w:r>
      <w:r w:rsidRPr="008A65E8">
        <w:rPr>
          <w:rFonts w:ascii="Compatil Fact LT Pro" w:eastAsia="Calibri" w:hAnsi="Compatil Fact LT Pro" w:cstheme="majorHAnsi"/>
          <w:color w:val="auto"/>
          <w:sz w:val="21"/>
          <w:szCs w:val="21"/>
          <w:lang w:val="en-AU"/>
        </w:rPr>
        <w:t>relatively neutral</w:t>
      </w:r>
      <w:r w:rsidR="008A65E8" w:rsidRPr="008A65E8">
        <w:rPr>
          <w:rFonts w:ascii="Compatil Fact LT Pro" w:eastAsia="Calibri" w:hAnsi="Compatil Fact LT Pro" w:cstheme="majorHAnsi"/>
          <w:color w:val="auto"/>
          <w:sz w:val="21"/>
          <w:szCs w:val="21"/>
          <w:lang w:val="en-AU"/>
        </w:rPr>
        <w:t xml:space="preserve"> </w:t>
      </w:r>
      <w:r w:rsidR="00A409E2">
        <w:rPr>
          <w:rFonts w:ascii="Compatil Fact LT Pro" w:eastAsia="Calibri" w:hAnsi="Compatil Fact LT Pro" w:cstheme="majorHAnsi"/>
          <w:color w:val="auto"/>
          <w:sz w:val="21"/>
          <w:szCs w:val="21"/>
          <w:lang w:val="en-AU"/>
        </w:rPr>
        <w:t>on</w:t>
      </w:r>
      <w:r w:rsidR="008A65E8" w:rsidRPr="008A65E8">
        <w:rPr>
          <w:rFonts w:ascii="Compatil Fact LT Pro" w:eastAsia="Calibri" w:hAnsi="Compatil Fact LT Pro" w:cstheme="majorHAnsi"/>
          <w:color w:val="auto"/>
          <w:sz w:val="21"/>
          <w:szCs w:val="21"/>
          <w:lang w:val="en-AU"/>
        </w:rPr>
        <w:t xml:space="preserve"> size.</w:t>
      </w:r>
    </w:p>
    <w:p w14:paraId="05F4AB30" w14:textId="3977B654" w:rsidR="00927120" w:rsidRDefault="00927120" w:rsidP="00927120">
      <w:pPr>
        <w:spacing w:after="160" w:line="276" w:lineRule="auto"/>
        <w:ind w:right="0"/>
        <w:rPr>
          <w:rFonts w:ascii="Compatil Fact LT Pro" w:eastAsia="Calibri" w:hAnsi="Compatil Fact LT Pro" w:cstheme="majorHAnsi"/>
          <w:color w:val="auto"/>
          <w:sz w:val="21"/>
          <w:szCs w:val="21"/>
          <w:lang w:val="en-AU"/>
        </w:rPr>
      </w:pPr>
      <w:r w:rsidRPr="00927120">
        <w:rPr>
          <w:rFonts w:ascii="Compatil Fact LT Pro" w:eastAsia="Calibri" w:hAnsi="Compatil Fact LT Pro" w:cstheme="majorHAnsi"/>
          <w:color w:val="auto"/>
          <w:sz w:val="21"/>
          <w:szCs w:val="21"/>
          <w:lang w:val="en-AU"/>
        </w:rPr>
        <w:t xml:space="preserve">Following the rebalancing, the portfolio achieved a </w:t>
      </w:r>
      <w:r w:rsidR="008A65E8">
        <w:rPr>
          <w:rFonts w:ascii="Compatil Fact LT Pro" w:eastAsia="Calibri" w:hAnsi="Compatil Fact LT Pro" w:cstheme="majorHAnsi"/>
          <w:color w:val="auto"/>
          <w:sz w:val="21"/>
          <w:szCs w:val="21"/>
          <w:lang w:val="en-AU"/>
        </w:rPr>
        <w:t>45</w:t>
      </w:r>
      <w:r w:rsidRPr="00927120">
        <w:rPr>
          <w:rFonts w:ascii="Compatil Fact LT Pro" w:eastAsia="Calibri" w:hAnsi="Compatil Fact LT Pro" w:cstheme="majorHAnsi"/>
          <w:color w:val="auto"/>
          <w:sz w:val="21"/>
          <w:szCs w:val="21"/>
          <w:lang w:val="en-AU"/>
        </w:rPr>
        <w:t xml:space="preserve">% carbon reduction versus the benchmark S&amp;P/ASX 100 Index and a </w:t>
      </w:r>
      <w:r w:rsidR="008A65E8">
        <w:rPr>
          <w:rFonts w:ascii="Compatil Fact LT Pro" w:eastAsia="Calibri" w:hAnsi="Compatil Fact LT Pro" w:cstheme="majorHAnsi"/>
          <w:color w:val="auto"/>
          <w:sz w:val="21"/>
          <w:szCs w:val="21"/>
          <w:lang w:val="en-AU"/>
        </w:rPr>
        <w:t>5</w:t>
      </w:r>
      <w:r w:rsidRPr="00927120">
        <w:rPr>
          <w:rFonts w:ascii="Compatil Fact LT Pro" w:eastAsia="Calibri" w:hAnsi="Compatil Fact LT Pro" w:cstheme="majorHAnsi"/>
          <w:color w:val="auto"/>
          <w:sz w:val="21"/>
          <w:szCs w:val="21"/>
          <w:lang w:val="en-AU"/>
        </w:rPr>
        <w:t>% improvement in its Material ESG Score</w:t>
      </w:r>
      <w:r w:rsidR="003C2E38">
        <w:rPr>
          <w:rStyle w:val="FootnoteReference"/>
          <w:rFonts w:ascii="Compatil Fact LT Pro" w:eastAsia="Calibri" w:hAnsi="Compatil Fact LT Pro" w:cstheme="majorHAnsi"/>
          <w:color w:val="auto"/>
          <w:sz w:val="21"/>
          <w:szCs w:val="21"/>
          <w:lang w:val="en-AU"/>
        </w:rPr>
        <w:footnoteReference w:id="1"/>
      </w:r>
      <w:r w:rsidRPr="00927120">
        <w:rPr>
          <w:rFonts w:ascii="Compatil Fact LT Pro" w:eastAsia="Calibri" w:hAnsi="Compatil Fact LT Pro" w:cstheme="majorHAnsi"/>
          <w:color w:val="auto"/>
          <w:sz w:val="21"/>
          <w:szCs w:val="21"/>
          <w:lang w:val="en-AU"/>
        </w:rPr>
        <w:t>.</w:t>
      </w:r>
    </w:p>
    <w:p w14:paraId="64B58B62" w14:textId="77777777" w:rsidR="002B3E2F" w:rsidRPr="00934420" w:rsidRDefault="002B3E2F" w:rsidP="002B3E2F">
      <w:pPr>
        <w:spacing w:after="160" w:line="276" w:lineRule="auto"/>
        <w:ind w:right="0"/>
        <w:rPr>
          <w:rFonts w:ascii="Compatil Fact LT Pro" w:eastAsia="Calibri" w:hAnsi="Compatil Fact LT Pro" w:cstheme="majorHAnsi"/>
          <w:b/>
          <w:bCs/>
          <w:color w:val="auto"/>
          <w:sz w:val="21"/>
          <w:szCs w:val="21"/>
          <w:lang w:val="en-AU"/>
        </w:rPr>
      </w:pPr>
      <w:r w:rsidRPr="00934420">
        <w:rPr>
          <w:rFonts w:ascii="Compatil Fact LT Pro" w:eastAsia="Calibri" w:hAnsi="Compatil Fact LT Pro" w:cstheme="majorHAnsi"/>
          <w:b/>
          <w:bCs/>
          <w:color w:val="auto"/>
          <w:sz w:val="21"/>
          <w:szCs w:val="21"/>
          <w:lang w:val="en-AU"/>
        </w:rPr>
        <w:t>Portfolio rebalancing trades</w:t>
      </w:r>
    </w:p>
    <w:tbl>
      <w:tblPr>
        <w:tblW w:w="10348" w:type="dxa"/>
        <w:tblBorders>
          <w:top w:val="single" w:sz="24" w:space="0" w:color="auto"/>
          <w:bottom w:val="single" w:sz="8" w:space="0" w:color="auto"/>
          <w:insideH w:val="single" w:sz="8" w:space="0" w:color="auto"/>
        </w:tblBorders>
        <w:tblCellMar>
          <w:left w:w="0" w:type="dxa"/>
          <w:right w:w="0" w:type="dxa"/>
        </w:tblCellMar>
        <w:tblLook w:val="04A0" w:firstRow="1" w:lastRow="0" w:firstColumn="1" w:lastColumn="0" w:noHBand="0" w:noVBand="1"/>
      </w:tblPr>
      <w:tblGrid>
        <w:gridCol w:w="2284"/>
        <w:gridCol w:w="268"/>
        <w:gridCol w:w="4961"/>
        <w:gridCol w:w="2835"/>
      </w:tblGrid>
      <w:tr w:rsidR="002B3E2F" w:rsidRPr="00934420" w14:paraId="47F4ABAE" w14:textId="77777777" w:rsidTr="000A3440">
        <w:trPr>
          <w:trHeight w:val="638"/>
        </w:trPr>
        <w:tc>
          <w:tcPr>
            <w:tcW w:w="2284"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vAlign w:val="center"/>
            <w:hideMark/>
          </w:tcPr>
          <w:p w14:paraId="23B1297C" w14:textId="77777777" w:rsidR="002B3E2F" w:rsidRPr="00934420" w:rsidRDefault="002B3E2F" w:rsidP="000A3440">
            <w:pPr>
              <w:spacing w:after="160" w:line="276" w:lineRule="auto"/>
              <w:ind w:right="0"/>
              <w:rPr>
                <w:rFonts w:ascii="Compatil Fact LT Pro" w:eastAsia="Calibri" w:hAnsi="Compatil Fact LT Pro" w:cstheme="majorHAnsi"/>
                <w:b/>
                <w:bCs/>
                <w:color w:val="auto"/>
                <w:sz w:val="19"/>
                <w:szCs w:val="19"/>
                <w:lang w:val="en-AU"/>
              </w:rPr>
            </w:pPr>
          </w:p>
        </w:tc>
        <w:tc>
          <w:tcPr>
            <w:tcW w:w="268" w:type="dxa"/>
            <w:tcBorders>
              <w:top w:val="single" w:sz="24" w:space="0" w:color="auto"/>
              <w:bottom w:val="single" w:sz="24" w:space="0" w:color="auto"/>
            </w:tcBorders>
            <w:shd w:val="clear" w:color="auto" w:fill="D9D9D9" w:themeFill="background1" w:themeFillShade="D9"/>
            <w:vAlign w:val="center"/>
          </w:tcPr>
          <w:p w14:paraId="5E914FB0" w14:textId="77777777" w:rsidR="002B3E2F" w:rsidRPr="00934420" w:rsidRDefault="002B3E2F" w:rsidP="000A3440">
            <w:pPr>
              <w:spacing w:after="160" w:line="276" w:lineRule="auto"/>
              <w:ind w:right="0"/>
              <w:rPr>
                <w:rFonts w:ascii="Compatil Fact LT Pro" w:eastAsia="Calibri" w:hAnsi="Compatil Fact LT Pro" w:cstheme="majorHAnsi"/>
                <w:b/>
                <w:bCs/>
                <w:color w:val="auto"/>
                <w:sz w:val="19"/>
                <w:szCs w:val="19"/>
                <w:lang w:val="en-AU"/>
              </w:rPr>
            </w:pPr>
          </w:p>
        </w:tc>
        <w:tc>
          <w:tcPr>
            <w:tcW w:w="4961" w:type="dxa"/>
            <w:tcBorders>
              <w:top w:val="single" w:sz="24" w:space="0" w:color="auto"/>
              <w:bottom w:val="single" w:sz="24" w:space="0" w:color="auto"/>
            </w:tcBorders>
            <w:shd w:val="clear" w:color="auto" w:fill="D9D9D9" w:themeFill="background1" w:themeFillShade="D9"/>
            <w:vAlign w:val="center"/>
          </w:tcPr>
          <w:p w14:paraId="07AB0462" w14:textId="77777777" w:rsidR="002B3E2F" w:rsidRPr="00934420" w:rsidRDefault="002B3E2F" w:rsidP="000A3440">
            <w:pPr>
              <w:spacing w:after="160" w:line="276" w:lineRule="auto"/>
              <w:ind w:right="0"/>
              <w:rPr>
                <w:rFonts w:ascii="Compatil Fact LT Pro" w:eastAsia="Calibri" w:hAnsi="Compatil Fact LT Pro" w:cstheme="majorHAnsi"/>
                <w:b/>
                <w:bCs/>
                <w:color w:val="auto"/>
                <w:sz w:val="19"/>
                <w:szCs w:val="19"/>
                <w:lang w:val="en-AU"/>
              </w:rPr>
            </w:pPr>
            <w:r w:rsidRPr="00934420">
              <w:rPr>
                <w:rFonts w:ascii="Compatil Fact LT Pro" w:eastAsia="Calibri" w:hAnsi="Compatil Fact LT Pro" w:cstheme="majorHAnsi"/>
                <w:b/>
                <w:bCs/>
                <w:color w:val="auto"/>
                <w:sz w:val="19"/>
                <w:szCs w:val="19"/>
                <w:lang w:val="en-AU"/>
              </w:rPr>
              <w:t>COMPANY</w:t>
            </w:r>
          </w:p>
        </w:tc>
        <w:tc>
          <w:tcPr>
            <w:tcW w:w="2835"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vAlign w:val="center"/>
          </w:tcPr>
          <w:p w14:paraId="46D3D73A" w14:textId="77777777" w:rsidR="002B3E2F" w:rsidRPr="00934420" w:rsidRDefault="002B3E2F" w:rsidP="000A3440">
            <w:pPr>
              <w:spacing w:after="160" w:line="276" w:lineRule="auto"/>
              <w:ind w:right="0"/>
              <w:rPr>
                <w:rFonts w:ascii="Compatil Fact LT Pro" w:eastAsia="Calibri" w:hAnsi="Compatil Fact LT Pro" w:cstheme="majorHAnsi"/>
                <w:b/>
                <w:bCs/>
                <w:color w:val="auto"/>
                <w:sz w:val="19"/>
                <w:szCs w:val="19"/>
                <w:lang w:val="en-AU"/>
              </w:rPr>
            </w:pPr>
            <w:r w:rsidRPr="00934420">
              <w:rPr>
                <w:rFonts w:ascii="Compatil Fact LT Pro" w:eastAsia="Calibri" w:hAnsi="Compatil Fact LT Pro" w:cstheme="majorHAnsi"/>
                <w:b/>
                <w:bCs/>
                <w:color w:val="auto"/>
                <w:sz w:val="19"/>
                <w:szCs w:val="19"/>
                <w:lang w:val="en-AU"/>
              </w:rPr>
              <w:t>WEIGHT</w:t>
            </w:r>
          </w:p>
        </w:tc>
      </w:tr>
      <w:tr w:rsidR="002B3E2F" w:rsidRPr="009D6B5A" w14:paraId="58141D5C" w14:textId="77777777" w:rsidTr="000A3440">
        <w:trPr>
          <w:trHeight w:val="873"/>
        </w:trPr>
        <w:tc>
          <w:tcPr>
            <w:tcW w:w="2284" w:type="dxa"/>
            <w:tcBorders>
              <w:top w:val="single" w:sz="24" w:space="0" w:color="auto"/>
              <w:left w:val="nil"/>
              <w:bottom w:val="single" w:sz="8" w:space="0" w:color="auto"/>
              <w:right w:val="nil"/>
            </w:tcBorders>
            <w:tcMar>
              <w:top w:w="0" w:type="dxa"/>
              <w:left w:w="108" w:type="dxa"/>
              <w:bottom w:w="0" w:type="dxa"/>
              <w:right w:w="108" w:type="dxa"/>
            </w:tcMar>
            <w:hideMark/>
          </w:tcPr>
          <w:p w14:paraId="106B035D" w14:textId="77777777"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Shares purchased</w:t>
            </w:r>
          </w:p>
        </w:tc>
        <w:tc>
          <w:tcPr>
            <w:tcW w:w="268" w:type="dxa"/>
            <w:tcBorders>
              <w:top w:val="single" w:sz="24" w:space="0" w:color="auto"/>
              <w:left w:val="nil"/>
              <w:bottom w:val="single" w:sz="8" w:space="0" w:color="auto"/>
              <w:right w:val="nil"/>
            </w:tcBorders>
            <w:vAlign w:val="center"/>
          </w:tcPr>
          <w:p w14:paraId="746CAF65" w14:textId="77777777"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p>
        </w:tc>
        <w:tc>
          <w:tcPr>
            <w:tcW w:w="4961" w:type="dxa"/>
            <w:tcBorders>
              <w:top w:val="single" w:sz="24" w:space="0" w:color="auto"/>
              <w:left w:val="nil"/>
              <w:bottom w:val="single" w:sz="8" w:space="0" w:color="auto"/>
              <w:right w:val="nil"/>
            </w:tcBorders>
            <w:vAlign w:val="center"/>
          </w:tcPr>
          <w:p w14:paraId="0891A0C5" w14:textId="01976D8D"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Reliance Worldwide</w:t>
            </w:r>
          </w:p>
          <w:p w14:paraId="55D14868" w14:textId="00898A20"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Worley Ltd.</w:t>
            </w:r>
          </w:p>
          <w:p w14:paraId="58D3A961" w14:textId="39928AF6"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Flight Centre</w:t>
            </w:r>
          </w:p>
          <w:p w14:paraId="4B15C1C8" w14:textId="50BC785C"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Evolution Mining</w:t>
            </w:r>
          </w:p>
          <w:p w14:paraId="512FD3BD" w14:textId="15FD5E1A" w:rsidR="002B3E2F" w:rsidRPr="009D6B5A" w:rsidRDefault="009D6B5A"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QBE Insurance</w:t>
            </w:r>
          </w:p>
          <w:p w14:paraId="3A5D524F" w14:textId="10897599" w:rsidR="009C0900" w:rsidRPr="009D6B5A" w:rsidRDefault="009D6B5A"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Woolworths</w:t>
            </w:r>
          </w:p>
          <w:p w14:paraId="1E954B9E" w14:textId="77777777" w:rsidR="009D6B5A" w:rsidRPr="009D6B5A" w:rsidRDefault="009D6B5A" w:rsidP="009D6B5A">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Fortescue Ltd.</w:t>
            </w:r>
          </w:p>
          <w:p w14:paraId="2F7EEB61" w14:textId="24F57CC7" w:rsidR="009C0900" w:rsidRPr="009D6B5A" w:rsidRDefault="009D6B5A" w:rsidP="009D6B5A">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Amcor</w:t>
            </w:r>
          </w:p>
        </w:tc>
        <w:tc>
          <w:tcPr>
            <w:tcW w:w="2835" w:type="dxa"/>
            <w:tcBorders>
              <w:top w:val="single" w:sz="24" w:space="0" w:color="auto"/>
              <w:left w:val="nil"/>
              <w:bottom w:val="single" w:sz="8" w:space="0" w:color="auto"/>
              <w:right w:val="nil"/>
            </w:tcBorders>
            <w:tcMar>
              <w:top w:w="0" w:type="dxa"/>
              <w:left w:w="108" w:type="dxa"/>
              <w:bottom w:w="0" w:type="dxa"/>
              <w:right w:w="108" w:type="dxa"/>
            </w:tcMar>
            <w:vAlign w:val="center"/>
            <w:hideMark/>
          </w:tcPr>
          <w:p w14:paraId="3318C560" w14:textId="1023530B"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C0900" w:rsidRPr="009D6B5A">
              <w:rPr>
                <w:rFonts w:ascii="Compatil Fact LT Pro" w:eastAsia="Calibri" w:hAnsi="Compatil Fact LT Pro" w:cstheme="majorHAnsi"/>
                <w:color w:val="auto"/>
                <w:sz w:val="19"/>
                <w:szCs w:val="19"/>
                <w:lang w:val="en-AU"/>
              </w:rPr>
              <w:t>2.</w:t>
            </w:r>
            <w:r w:rsidR="009D6B5A" w:rsidRPr="009D6B5A">
              <w:rPr>
                <w:rFonts w:ascii="Compatil Fact LT Pro" w:eastAsia="Calibri" w:hAnsi="Compatil Fact LT Pro" w:cstheme="majorHAnsi"/>
                <w:color w:val="auto"/>
                <w:sz w:val="19"/>
                <w:szCs w:val="19"/>
                <w:lang w:val="en-AU"/>
              </w:rPr>
              <w:t>1</w:t>
            </w:r>
            <w:r w:rsidRPr="009D6B5A">
              <w:rPr>
                <w:rFonts w:ascii="Compatil Fact LT Pro" w:eastAsia="Calibri" w:hAnsi="Compatil Fact LT Pro" w:cstheme="majorHAnsi"/>
                <w:color w:val="auto"/>
                <w:sz w:val="19"/>
                <w:szCs w:val="19"/>
                <w:lang w:val="en-AU"/>
              </w:rPr>
              <w:t>%</w:t>
            </w:r>
          </w:p>
          <w:p w14:paraId="5858C53F" w14:textId="4C02A724"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1.9</w:t>
            </w:r>
            <w:r w:rsidRPr="009D6B5A">
              <w:rPr>
                <w:rFonts w:ascii="Compatil Fact LT Pro" w:eastAsia="Calibri" w:hAnsi="Compatil Fact LT Pro" w:cstheme="majorHAnsi"/>
                <w:color w:val="auto"/>
                <w:sz w:val="19"/>
                <w:szCs w:val="19"/>
                <w:lang w:val="en-AU"/>
              </w:rPr>
              <w:t>%</w:t>
            </w:r>
          </w:p>
          <w:p w14:paraId="6093E5C4" w14:textId="5B2A6205"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1.9</w:t>
            </w:r>
            <w:r w:rsidRPr="009D6B5A">
              <w:rPr>
                <w:rFonts w:ascii="Compatil Fact LT Pro" w:eastAsia="Calibri" w:hAnsi="Compatil Fact LT Pro" w:cstheme="majorHAnsi"/>
                <w:color w:val="auto"/>
                <w:sz w:val="19"/>
                <w:szCs w:val="19"/>
                <w:lang w:val="en-AU"/>
              </w:rPr>
              <w:t>%</w:t>
            </w:r>
          </w:p>
          <w:p w14:paraId="24E26EEA" w14:textId="5C4B87B0"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1.8</w:t>
            </w:r>
            <w:r w:rsidRPr="009D6B5A">
              <w:rPr>
                <w:rFonts w:ascii="Compatil Fact LT Pro" w:eastAsia="Calibri" w:hAnsi="Compatil Fact LT Pro" w:cstheme="majorHAnsi"/>
                <w:color w:val="auto"/>
                <w:sz w:val="19"/>
                <w:szCs w:val="19"/>
                <w:lang w:val="en-AU"/>
              </w:rPr>
              <w:t>%</w:t>
            </w:r>
          </w:p>
          <w:p w14:paraId="41082F52" w14:textId="446185DD" w:rsidR="002B3E2F" w:rsidRPr="009D6B5A" w:rsidRDefault="002B3E2F"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1.0</w:t>
            </w:r>
            <w:r w:rsidRPr="009D6B5A">
              <w:rPr>
                <w:rFonts w:ascii="Compatil Fact LT Pro" w:eastAsia="Calibri" w:hAnsi="Compatil Fact LT Pro" w:cstheme="majorHAnsi"/>
                <w:color w:val="auto"/>
                <w:sz w:val="19"/>
                <w:szCs w:val="19"/>
                <w:lang w:val="en-AU"/>
              </w:rPr>
              <w:t>%</w:t>
            </w:r>
          </w:p>
          <w:p w14:paraId="1F1AA4A1" w14:textId="6DB34787" w:rsidR="009C0900" w:rsidRPr="009D6B5A" w:rsidRDefault="009C0900"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1.0</w:t>
            </w:r>
            <w:r w:rsidRPr="009D6B5A">
              <w:rPr>
                <w:rFonts w:ascii="Compatil Fact LT Pro" w:eastAsia="Calibri" w:hAnsi="Compatil Fact LT Pro" w:cstheme="majorHAnsi"/>
                <w:color w:val="auto"/>
                <w:sz w:val="19"/>
                <w:szCs w:val="19"/>
                <w:lang w:val="en-AU"/>
              </w:rPr>
              <w:t>%</w:t>
            </w:r>
          </w:p>
          <w:p w14:paraId="388160D8" w14:textId="56866938" w:rsidR="009C0900" w:rsidRPr="009D6B5A" w:rsidRDefault="009C0900"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0.9</w:t>
            </w:r>
            <w:r w:rsidRPr="009D6B5A">
              <w:rPr>
                <w:rFonts w:ascii="Compatil Fact LT Pro" w:eastAsia="Calibri" w:hAnsi="Compatil Fact LT Pro" w:cstheme="majorHAnsi"/>
                <w:color w:val="auto"/>
                <w:sz w:val="19"/>
                <w:szCs w:val="19"/>
                <w:lang w:val="en-AU"/>
              </w:rPr>
              <w:t>%</w:t>
            </w:r>
          </w:p>
          <w:p w14:paraId="0949321C" w14:textId="7DA42F21" w:rsidR="009C0900" w:rsidRPr="009D6B5A" w:rsidRDefault="009C0900" w:rsidP="002B3E2F">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0.7</w:t>
            </w:r>
            <w:r w:rsidRPr="009D6B5A">
              <w:rPr>
                <w:rFonts w:ascii="Compatil Fact LT Pro" w:eastAsia="Calibri" w:hAnsi="Compatil Fact LT Pro" w:cstheme="majorHAnsi"/>
                <w:color w:val="auto"/>
                <w:sz w:val="19"/>
                <w:szCs w:val="19"/>
                <w:lang w:val="en-AU"/>
              </w:rPr>
              <w:t>%</w:t>
            </w:r>
          </w:p>
        </w:tc>
      </w:tr>
      <w:tr w:rsidR="002B3E2F" w:rsidRPr="00934420" w14:paraId="267B1EF3" w14:textId="77777777" w:rsidTr="000A3440">
        <w:trPr>
          <w:trHeight w:val="983"/>
        </w:trPr>
        <w:tc>
          <w:tcPr>
            <w:tcW w:w="2284" w:type="dxa"/>
            <w:tcBorders>
              <w:top w:val="single" w:sz="8" w:space="0" w:color="auto"/>
              <w:left w:val="nil"/>
              <w:bottom w:val="single" w:sz="8" w:space="0" w:color="auto"/>
              <w:right w:val="nil"/>
            </w:tcBorders>
            <w:tcMar>
              <w:top w:w="0" w:type="dxa"/>
              <w:left w:w="108" w:type="dxa"/>
              <w:bottom w:w="0" w:type="dxa"/>
              <w:right w:w="108" w:type="dxa"/>
            </w:tcMar>
            <w:hideMark/>
          </w:tcPr>
          <w:p w14:paraId="16B72D50" w14:textId="77777777"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Shares sold</w:t>
            </w:r>
          </w:p>
        </w:tc>
        <w:tc>
          <w:tcPr>
            <w:tcW w:w="268" w:type="dxa"/>
            <w:tcBorders>
              <w:top w:val="single" w:sz="8" w:space="0" w:color="auto"/>
              <w:left w:val="nil"/>
              <w:bottom w:val="single" w:sz="8" w:space="0" w:color="auto"/>
              <w:right w:val="nil"/>
            </w:tcBorders>
            <w:vAlign w:val="center"/>
          </w:tcPr>
          <w:p w14:paraId="0C521634" w14:textId="77777777" w:rsidR="002B3E2F" w:rsidRPr="00952B22" w:rsidRDefault="002B3E2F" w:rsidP="000A3440">
            <w:pPr>
              <w:spacing w:after="160" w:line="276" w:lineRule="auto"/>
              <w:ind w:right="0"/>
              <w:rPr>
                <w:rFonts w:ascii="Compatil Fact LT Pro" w:eastAsia="Calibri" w:hAnsi="Compatil Fact LT Pro" w:cstheme="majorHAnsi"/>
                <w:color w:val="auto"/>
                <w:sz w:val="19"/>
                <w:szCs w:val="19"/>
                <w:highlight w:val="yellow"/>
                <w:lang w:val="en-AU"/>
              </w:rPr>
            </w:pPr>
          </w:p>
        </w:tc>
        <w:tc>
          <w:tcPr>
            <w:tcW w:w="4961" w:type="dxa"/>
            <w:tcBorders>
              <w:top w:val="single" w:sz="8" w:space="0" w:color="auto"/>
              <w:left w:val="nil"/>
              <w:bottom w:val="single" w:sz="8" w:space="0" w:color="auto"/>
              <w:right w:val="nil"/>
            </w:tcBorders>
            <w:vAlign w:val="center"/>
          </w:tcPr>
          <w:p w14:paraId="4609F94D" w14:textId="77777777" w:rsidR="009D6B5A"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Atlas Arteria</w:t>
            </w:r>
          </w:p>
          <w:p w14:paraId="2FBAD3C0" w14:textId="63018107"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Ramsay Health Care</w:t>
            </w:r>
          </w:p>
          <w:p w14:paraId="559E4CF3" w14:textId="77259A63"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Pro Medicus</w:t>
            </w:r>
          </w:p>
          <w:p w14:paraId="6D70B4A5" w14:textId="18F4B134" w:rsidR="002B3E2F"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Westpac Banking Corp.</w:t>
            </w:r>
          </w:p>
          <w:p w14:paraId="3A916FE6" w14:textId="1A70D9F8" w:rsidR="00371BB1"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Xero</w:t>
            </w:r>
          </w:p>
          <w:p w14:paraId="5CFEE88E" w14:textId="6BEAACAD" w:rsidR="009C0900"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BlueScope Steel</w:t>
            </w:r>
          </w:p>
          <w:p w14:paraId="00A693BC" w14:textId="05E82945" w:rsidR="009C0900"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JB Hi-Fi</w:t>
            </w:r>
          </w:p>
          <w:p w14:paraId="704351EF" w14:textId="62DE362D" w:rsidR="009C0900" w:rsidRPr="009D6B5A" w:rsidRDefault="009D6B5A"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National Australia Bank</w:t>
            </w:r>
          </w:p>
        </w:tc>
        <w:tc>
          <w:tcPr>
            <w:tcW w:w="2835"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1AB399B" w14:textId="63169C05"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C0900" w:rsidRPr="009D6B5A">
              <w:rPr>
                <w:rFonts w:ascii="Compatil Fact LT Pro" w:eastAsia="Calibri" w:hAnsi="Compatil Fact LT Pro" w:cstheme="majorHAnsi"/>
                <w:color w:val="auto"/>
                <w:sz w:val="19"/>
                <w:szCs w:val="19"/>
                <w:lang w:val="en-AU"/>
              </w:rPr>
              <w:t>2.</w:t>
            </w:r>
            <w:r w:rsidR="009D6B5A" w:rsidRPr="009D6B5A">
              <w:rPr>
                <w:rFonts w:ascii="Compatil Fact LT Pro" w:eastAsia="Calibri" w:hAnsi="Compatil Fact LT Pro" w:cstheme="majorHAnsi"/>
                <w:color w:val="auto"/>
                <w:sz w:val="19"/>
                <w:szCs w:val="19"/>
                <w:lang w:val="en-AU"/>
              </w:rPr>
              <w:t>1</w:t>
            </w:r>
            <w:r w:rsidRPr="009D6B5A">
              <w:rPr>
                <w:rFonts w:ascii="Compatil Fact LT Pro" w:eastAsia="Calibri" w:hAnsi="Compatil Fact LT Pro" w:cstheme="majorHAnsi"/>
                <w:color w:val="auto"/>
                <w:sz w:val="19"/>
                <w:szCs w:val="19"/>
                <w:lang w:val="en-AU"/>
              </w:rPr>
              <w:t>%</w:t>
            </w:r>
          </w:p>
          <w:p w14:paraId="00CDCBD9" w14:textId="2318B824"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1.9</w:t>
            </w:r>
            <w:r w:rsidRPr="009D6B5A">
              <w:rPr>
                <w:rFonts w:ascii="Compatil Fact LT Pro" w:eastAsia="Calibri" w:hAnsi="Compatil Fact LT Pro" w:cstheme="majorHAnsi"/>
                <w:color w:val="auto"/>
                <w:sz w:val="19"/>
                <w:szCs w:val="19"/>
                <w:lang w:val="en-AU"/>
              </w:rPr>
              <w:t>%</w:t>
            </w:r>
          </w:p>
          <w:p w14:paraId="721203D1" w14:textId="4342C966"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1.9</w:t>
            </w:r>
            <w:r w:rsidRPr="009D6B5A">
              <w:rPr>
                <w:rFonts w:ascii="Compatil Fact LT Pro" w:eastAsia="Calibri" w:hAnsi="Compatil Fact LT Pro" w:cstheme="majorHAnsi"/>
                <w:color w:val="auto"/>
                <w:sz w:val="19"/>
                <w:szCs w:val="19"/>
                <w:lang w:val="en-AU"/>
              </w:rPr>
              <w:t>%</w:t>
            </w:r>
          </w:p>
          <w:p w14:paraId="28652C42" w14:textId="0F73A89B" w:rsidR="002B3E2F" w:rsidRPr="009D6B5A" w:rsidRDefault="002B3E2F" w:rsidP="000A3440">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1.1</w:t>
            </w:r>
            <w:r w:rsidRPr="009D6B5A">
              <w:rPr>
                <w:rFonts w:ascii="Compatil Fact LT Pro" w:eastAsia="Calibri" w:hAnsi="Compatil Fact LT Pro" w:cstheme="majorHAnsi"/>
                <w:color w:val="auto"/>
                <w:sz w:val="19"/>
                <w:szCs w:val="19"/>
                <w:lang w:val="en-AU"/>
              </w:rPr>
              <w:t>%</w:t>
            </w:r>
          </w:p>
          <w:p w14:paraId="7D9043F0" w14:textId="10B34944" w:rsidR="002B3E2F" w:rsidRPr="009D6B5A" w:rsidRDefault="002B3E2F" w:rsidP="00371BB1">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1.0</w:t>
            </w:r>
            <w:r w:rsidRPr="009D6B5A">
              <w:rPr>
                <w:rFonts w:ascii="Compatil Fact LT Pro" w:eastAsia="Calibri" w:hAnsi="Compatil Fact LT Pro" w:cstheme="majorHAnsi"/>
                <w:color w:val="auto"/>
                <w:sz w:val="19"/>
                <w:szCs w:val="19"/>
                <w:lang w:val="en-AU"/>
              </w:rPr>
              <w:t>%</w:t>
            </w:r>
          </w:p>
          <w:p w14:paraId="1CF4AA8D" w14:textId="3AB8C683" w:rsidR="009C0900" w:rsidRPr="009D6B5A" w:rsidRDefault="009C0900" w:rsidP="00371BB1">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0.9</w:t>
            </w:r>
            <w:r w:rsidRPr="009D6B5A">
              <w:rPr>
                <w:rFonts w:ascii="Compatil Fact LT Pro" w:eastAsia="Calibri" w:hAnsi="Compatil Fact LT Pro" w:cstheme="majorHAnsi"/>
                <w:color w:val="auto"/>
                <w:sz w:val="19"/>
                <w:szCs w:val="19"/>
                <w:lang w:val="en-AU"/>
              </w:rPr>
              <w:t>%</w:t>
            </w:r>
          </w:p>
          <w:p w14:paraId="41C3D47D" w14:textId="572BF51B" w:rsidR="009C0900" w:rsidRPr="009D6B5A" w:rsidRDefault="009C0900" w:rsidP="00371BB1">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w:t>
            </w:r>
            <w:r w:rsidR="009D6B5A" w:rsidRPr="009D6B5A">
              <w:rPr>
                <w:rFonts w:ascii="Compatil Fact LT Pro" w:eastAsia="Calibri" w:hAnsi="Compatil Fact LT Pro" w:cstheme="majorHAnsi"/>
                <w:color w:val="auto"/>
                <w:sz w:val="19"/>
                <w:szCs w:val="19"/>
                <w:lang w:val="en-AU"/>
              </w:rPr>
              <w:t>0.9</w:t>
            </w:r>
            <w:r w:rsidRPr="009D6B5A">
              <w:rPr>
                <w:rFonts w:ascii="Compatil Fact LT Pro" w:eastAsia="Calibri" w:hAnsi="Compatil Fact LT Pro" w:cstheme="majorHAnsi"/>
                <w:color w:val="auto"/>
                <w:sz w:val="19"/>
                <w:szCs w:val="19"/>
                <w:lang w:val="en-AU"/>
              </w:rPr>
              <w:t>%</w:t>
            </w:r>
          </w:p>
          <w:p w14:paraId="0A3821F3" w14:textId="0CE2CDCF" w:rsidR="009C0900" w:rsidRPr="009D6B5A" w:rsidRDefault="009C0900" w:rsidP="00371BB1">
            <w:pPr>
              <w:spacing w:after="160" w:line="276" w:lineRule="auto"/>
              <w:ind w:right="0"/>
              <w:rPr>
                <w:rFonts w:ascii="Compatil Fact LT Pro" w:eastAsia="Calibri" w:hAnsi="Compatil Fact LT Pro" w:cstheme="majorHAnsi"/>
                <w:color w:val="auto"/>
                <w:sz w:val="19"/>
                <w:szCs w:val="19"/>
                <w:lang w:val="en-AU"/>
              </w:rPr>
            </w:pPr>
            <w:r w:rsidRPr="009D6B5A">
              <w:rPr>
                <w:rFonts w:ascii="Compatil Fact LT Pro" w:eastAsia="Calibri" w:hAnsi="Compatil Fact LT Pro" w:cstheme="majorHAnsi"/>
                <w:color w:val="auto"/>
                <w:sz w:val="19"/>
                <w:szCs w:val="19"/>
                <w:lang w:val="en-AU"/>
              </w:rPr>
              <w:t>-0.7%</w:t>
            </w:r>
          </w:p>
        </w:tc>
      </w:tr>
    </w:tbl>
    <w:p w14:paraId="5E3EA7B9" w14:textId="77777777" w:rsidR="002B3E2F" w:rsidRPr="008674B7" w:rsidRDefault="002B3E2F" w:rsidP="008674B7">
      <w:pPr>
        <w:spacing w:after="160" w:line="276" w:lineRule="auto"/>
        <w:ind w:right="0"/>
        <w:rPr>
          <w:rFonts w:ascii="Compatil Fact LT Pro" w:eastAsia="Calibri" w:hAnsi="Compatil Fact LT Pro" w:cstheme="majorHAnsi"/>
          <w:color w:val="auto"/>
          <w:sz w:val="21"/>
          <w:szCs w:val="21"/>
          <w:lang w:val="en-AU"/>
        </w:rPr>
      </w:pPr>
    </w:p>
    <w:p w14:paraId="4625F877" w14:textId="4887207C" w:rsidR="00277570" w:rsidRPr="00A052F4" w:rsidRDefault="00277570"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lastRenderedPageBreak/>
        <w:t>Changes in asset allocation (%)</w:t>
      </w:r>
    </w:p>
    <w:tbl>
      <w:tblPr>
        <w:tblW w:w="10206" w:type="dxa"/>
        <w:tblBorders>
          <w:top w:val="single" w:sz="24" w:space="0" w:color="auto"/>
          <w:bottom w:val="single" w:sz="8" w:space="0" w:color="auto"/>
          <w:insideH w:val="single" w:sz="8" w:space="0" w:color="auto"/>
        </w:tblBorders>
        <w:tblLayout w:type="fixed"/>
        <w:tblCellMar>
          <w:left w:w="0" w:type="dxa"/>
          <w:right w:w="0" w:type="dxa"/>
        </w:tblCellMar>
        <w:tblLook w:val="04A0" w:firstRow="1" w:lastRow="0" w:firstColumn="1" w:lastColumn="0" w:noHBand="0" w:noVBand="1"/>
      </w:tblPr>
      <w:tblGrid>
        <w:gridCol w:w="2127"/>
        <w:gridCol w:w="1984"/>
        <w:gridCol w:w="1134"/>
        <w:gridCol w:w="1843"/>
        <w:gridCol w:w="1134"/>
        <w:gridCol w:w="1984"/>
      </w:tblGrid>
      <w:tr w:rsidR="00277570" w:rsidRPr="007068B6" w14:paraId="746EEE87" w14:textId="77777777" w:rsidTr="00003560">
        <w:trPr>
          <w:trHeight w:val="638"/>
        </w:trPr>
        <w:tc>
          <w:tcPr>
            <w:tcW w:w="2127" w:type="dxa"/>
            <w:tcBorders>
              <w:top w:val="single" w:sz="24"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39B9B7A3" w14:textId="77777777" w:rsidR="00277570" w:rsidRPr="007068B6" w:rsidRDefault="00277570" w:rsidP="00003560">
            <w:pPr>
              <w:spacing w:after="160" w:line="276" w:lineRule="auto"/>
              <w:ind w:right="0"/>
              <w:rPr>
                <w:rFonts w:ascii="Arial" w:hAnsi="Arial" w:cs="Arial"/>
                <w:b/>
                <w:bCs/>
                <w:color w:val="auto"/>
                <w:szCs w:val="18"/>
              </w:rPr>
            </w:pPr>
            <w:r w:rsidRPr="00003560">
              <w:rPr>
                <w:rFonts w:ascii="Compatil Fact LT Pro" w:eastAsia="Calibri" w:hAnsi="Compatil Fact LT Pro" w:cstheme="majorHAnsi"/>
                <w:b/>
                <w:bCs/>
                <w:color w:val="auto"/>
                <w:sz w:val="19"/>
                <w:szCs w:val="19"/>
                <w:lang w:val="en-AU"/>
              </w:rPr>
              <w:t>ASSET</w:t>
            </w:r>
            <w:r>
              <w:rPr>
                <w:rFonts w:ascii="Arial" w:hAnsi="Arial" w:cs="Arial"/>
                <w:b/>
                <w:bCs/>
                <w:color w:val="auto"/>
                <w:szCs w:val="18"/>
              </w:rPr>
              <w:t xml:space="preserve"> CLASS</w:t>
            </w:r>
          </w:p>
        </w:tc>
        <w:tc>
          <w:tcPr>
            <w:tcW w:w="8079" w:type="dxa"/>
            <w:gridSpan w:val="5"/>
            <w:tcBorders>
              <w:top w:val="single" w:sz="24" w:space="0" w:color="auto"/>
              <w:bottom w:val="single" w:sz="4" w:space="0" w:color="auto"/>
            </w:tcBorders>
            <w:shd w:val="clear" w:color="auto" w:fill="D9D9D9" w:themeFill="background1" w:themeFillShade="D9"/>
            <w:tcMar>
              <w:top w:w="0" w:type="dxa"/>
              <w:left w:w="108" w:type="dxa"/>
              <w:bottom w:w="0" w:type="dxa"/>
              <w:right w:w="108" w:type="dxa"/>
            </w:tcMar>
            <w:vAlign w:val="center"/>
          </w:tcPr>
          <w:p w14:paraId="24C6A9DB" w14:textId="77777777" w:rsidR="00277570" w:rsidRPr="007068B6" w:rsidRDefault="00277570" w:rsidP="00003560">
            <w:pPr>
              <w:spacing w:after="160" w:line="276" w:lineRule="auto"/>
              <w:ind w:right="0"/>
              <w:jc w:val="center"/>
              <w:rPr>
                <w:rFonts w:ascii="Arial" w:hAnsi="Arial" w:cs="Arial"/>
                <w:b/>
                <w:bCs/>
                <w:color w:val="auto"/>
                <w:szCs w:val="18"/>
              </w:rPr>
            </w:pPr>
            <w:r w:rsidRPr="00003560">
              <w:rPr>
                <w:rFonts w:ascii="Compatil Fact LT Pro" w:eastAsia="Calibri" w:hAnsi="Compatil Fact LT Pro" w:cstheme="majorHAnsi"/>
                <w:b/>
                <w:bCs/>
                <w:color w:val="auto"/>
                <w:sz w:val="19"/>
                <w:szCs w:val="19"/>
                <w:lang w:val="en-AU"/>
              </w:rPr>
              <w:t>RISK PROFILE</w:t>
            </w:r>
          </w:p>
        </w:tc>
      </w:tr>
      <w:tr w:rsidR="00277570" w:rsidRPr="007068B6" w14:paraId="3F3B346B" w14:textId="77777777" w:rsidTr="00003560">
        <w:trPr>
          <w:trHeight w:val="638"/>
        </w:trPr>
        <w:tc>
          <w:tcPr>
            <w:tcW w:w="2127"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hideMark/>
          </w:tcPr>
          <w:p w14:paraId="5EC1A52E" w14:textId="77777777" w:rsidR="00277570" w:rsidRPr="007068B6" w:rsidRDefault="00277570" w:rsidP="000A3440">
            <w:pPr>
              <w:spacing w:before="60"/>
              <w:ind w:right="22"/>
              <w:rPr>
                <w:rFonts w:ascii="Arial" w:hAnsi="Arial" w:cs="Arial"/>
                <w:b/>
                <w:bCs/>
                <w:color w:val="auto"/>
                <w:szCs w:val="18"/>
              </w:rPr>
            </w:pPr>
          </w:p>
        </w:tc>
        <w:tc>
          <w:tcPr>
            <w:tcW w:w="1984"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tcPr>
          <w:p w14:paraId="45EAC488" w14:textId="77777777" w:rsidR="00277570" w:rsidRPr="00003560" w:rsidRDefault="00277570" w:rsidP="00003560">
            <w:pPr>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CONSERVATIVE</w:t>
            </w:r>
          </w:p>
        </w:tc>
        <w:tc>
          <w:tcPr>
            <w:tcW w:w="1134" w:type="dxa"/>
            <w:tcBorders>
              <w:top w:val="single" w:sz="4" w:space="0" w:color="auto"/>
              <w:bottom w:val="single" w:sz="24" w:space="0" w:color="auto"/>
            </w:tcBorders>
            <w:shd w:val="clear" w:color="auto" w:fill="D9D9D9" w:themeFill="background1" w:themeFillShade="D9"/>
            <w:tcMar>
              <w:top w:w="0" w:type="dxa"/>
              <w:left w:w="108" w:type="dxa"/>
              <w:bottom w:w="0" w:type="dxa"/>
              <w:right w:w="108" w:type="dxa"/>
            </w:tcMar>
            <w:vAlign w:val="center"/>
            <w:hideMark/>
          </w:tcPr>
          <w:p w14:paraId="5A8261AF" w14:textId="07CBB9C7" w:rsidR="00277570" w:rsidRPr="00003560" w:rsidRDefault="00277570" w:rsidP="00003560">
            <w:pPr>
              <w:tabs>
                <w:tab w:val="left" w:pos="1160"/>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DIV 50</w:t>
            </w:r>
          </w:p>
        </w:tc>
        <w:tc>
          <w:tcPr>
            <w:tcW w:w="1843" w:type="dxa"/>
            <w:tcBorders>
              <w:top w:val="single" w:sz="4" w:space="0" w:color="auto"/>
              <w:bottom w:val="single" w:sz="24" w:space="0" w:color="auto"/>
            </w:tcBorders>
            <w:shd w:val="clear" w:color="auto" w:fill="D9D9D9" w:themeFill="background1" w:themeFillShade="D9"/>
            <w:vAlign w:val="center"/>
          </w:tcPr>
          <w:p w14:paraId="56EA4CF7" w14:textId="78364FA7" w:rsidR="00277570" w:rsidRPr="00003560" w:rsidRDefault="00277570" w:rsidP="00003560">
            <w:pPr>
              <w:tabs>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BALANCED</w:t>
            </w:r>
          </w:p>
        </w:tc>
        <w:tc>
          <w:tcPr>
            <w:tcW w:w="1134" w:type="dxa"/>
            <w:tcBorders>
              <w:top w:val="single" w:sz="4" w:space="0" w:color="auto"/>
              <w:bottom w:val="single" w:sz="24" w:space="0" w:color="auto"/>
            </w:tcBorders>
            <w:shd w:val="clear" w:color="auto" w:fill="D9D9D9" w:themeFill="background1" w:themeFillShade="D9"/>
            <w:vAlign w:val="center"/>
          </w:tcPr>
          <w:p w14:paraId="75978A20" w14:textId="77777777" w:rsidR="00277570" w:rsidRPr="00003560" w:rsidRDefault="00277570" w:rsidP="00003560">
            <w:pPr>
              <w:tabs>
                <w:tab w:val="left" w:pos="1274"/>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GROWTH</w:t>
            </w:r>
          </w:p>
        </w:tc>
        <w:tc>
          <w:tcPr>
            <w:tcW w:w="1984" w:type="dxa"/>
            <w:tcBorders>
              <w:top w:val="single" w:sz="4" w:space="0" w:color="auto"/>
              <w:bottom w:val="single" w:sz="24" w:space="0" w:color="auto"/>
            </w:tcBorders>
            <w:shd w:val="clear" w:color="auto" w:fill="D9D9D9" w:themeFill="background1" w:themeFillShade="D9"/>
            <w:vAlign w:val="center"/>
          </w:tcPr>
          <w:p w14:paraId="519AEB21" w14:textId="77777777" w:rsidR="00277570" w:rsidRPr="00003560" w:rsidRDefault="00277570" w:rsidP="00003560">
            <w:pPr>
              <w:tabs>
                <w:tab w:val="left" w:pos="4006"/>
              </w:tabs>
              <w:spacing w:after="160" w:line="276" w:lineRule="auto"/>
              <w:ind w:right="0"/>
              <w:jc w:val="center"/>
              <w:rPr>
                <w:rFonts w:ascii="Compatil Fact LT Pro" w:eastAsia="Calibri" w:hAnsi="Compatil Fact LT Pro" w:cstheme="majorHAnsi"/>
                <w:b/>
                <w:bCs/>
                <w:color w:val="auto"/>
                <w:sz w:val="19"/>
                <w:szCs w:val="19"/>
                <w:lang w:val="en-AU"/>
              </w:rPr>
            </w:pPr>
            <w:r w:rsidRPr="00003560">
              <w:rPr>
                <w:rFonts w:ascii="Compatil Fact LT Pro" w:eastAsia="Calibri" w:hAnsi="Compatil Fact LT Pro" w:cstheme="majorHAnsi"/>
                <w:b/>
                <w:bCs/>
                <w:color w:val="auto"/>
                <w:sz w:val="19"/>
                <w:szCs w:val="19"/>
                <w:lang w:val="en-AU"/>
              </w:rPr>
              <w:t>HIGH GROWTH</w:t>
            </w:r>
          </w:p>
        </w:tc>
      </w:tr>
      <w:tr w:rsidR="001E657A" w:rsidRPr="001E657A" w14:paraId="121A9B3C"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468B8BD0" w14:textId="77777777"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equities</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27F7D5B" w14:textId="1648EAD0"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2.1</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1FF90140" w14:textId="6919B748"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1.7</w:t>
            </w:r>
          </w:p>
        </w:tc>
        <w:tc>
          <w:tcPr>
            <w:tcW w:w="1843" w:type="dxa"/>
            <w:tcBorders>
              <w:top w:val="single" w:sz="8" w:space="0" w:color="auto"/>
              <w:bottom w:val="single" w:sz="8" w:space="0" w:color="auto"/>
            </w:tcBorders>
            <w:vAlign w:val="center"/>
          </w:tcPr>
          <w:p w14:paraId="2EB1AB06" w14:textId="044334E4"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2.5</w:t>
            </w:r>
          </w:p>
        </w:tc>
        <w:tc>
          <w:tcPr>
            <w:tcW w:w="1134" w:type="dxa"/>
            <w:tcBorders>
              <w:top w:val="single" w:sz="8" w:space="0" w:color="auto"/>
              <w:bottom w:val="single" w:sz="8" w:space="0" w:color="auto"/>
            </w:tcBorders>
            <w:vAlign w:val="center"/>
          </w:tcPr>
          <w:p w14:paraId="70FAD68D" w14:textId="33EA289C"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3.8</w:t>
            </w:r>
          </w:p>
        </w:tc>
        <w:tc>
          <w:tcPr>
            <w:tcW w:w="1984" w:type="dxa"/>
            <w:tcBorders>
              <w:top w:val="single" w:sz="8" w:space="0" w:color="auto"/>
              <w:bottom w:val="single" w:sz="8" w:space="0" w:color="auto"/>
            </w:tcBorders>
            <w:vAlign w:val="center"/>
          </w:tcPr>
          <w:p w14:paraId="6205C31A" w14:textId="518EF58A"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2.0</w:t>
            </w:r>
          </w:p>
        </w:tc>
      </w:tr>
      <w:tr w:rsidR="001E657A" w:rsidRPr="001E657A" w14:paraId="1AB414CD" w14:textId="77777777" w:rsidTr="001E657A">
        <w:trPr>
          <w:trHeight w:val="91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02F76F78" w14:textId="77777777"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equities</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697BF88D" w14:textId="5B215201"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-0.7</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53FB2EA3" w14:textId="35AE4E74"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-1.0</w:t>
            </w:r>
          </w:p>
        </w:tc>
        <w:tc>
          <w:tcPr>
            <w:tcW w:w="1843" w:type="dxa"/>
            <w:tcBorders>
              <w:top w:val="single" w:sz="8" w:space="0" w:color="auto"/>
              <w:bottom w:val="single" w:sz="8" w:space="0" w:color="auto"/>
            </w:tcBorders>
            <w:vAlign w:val="center"/>
          </w:tcPr>
          <w:p w14:paraId="663905E5" w14:textId="79895A0B"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-1.8</w:t>
            </w:r>
          </w:p>
        </w:tc>
        <w:tc>
          <w:tcPr>
            <w:tcW w:w="1134" w:type="dxa"/>
            <w:tcBorders>
              <w:top w:val="single" w:sz="8" w:space="0" w:color="auto"/>
              <w:bottom w:val="single" w:sz="8" w:space="0" w:color="auto"/>
            </w:tcBorders>
            <w:vAlign w:val="center"/>
          </w:tcPr>
          <w:p w14:paraId="34A40480" w14:textId="135D906B"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-1.9</w:t>
            </w:r>
          </w:p>
        </w:tc>
        <w:tc>
          <w:tcPr>
            <w:tcW w:w="1984" w:type="dxa"/>
            <w:tcBorders>
              <w:top w:val="single" w:sz="8" w:space="0" w:color="auto"/>
              <w:bottom w:val="single" w:sz="8" w:space="0" w:color="auto"/>
            </w:tcBorders>
            <w:vAlign w:val="center"/>
          </w:tcPr>
          <w:p w14:paraId="134D61F8" w14:textId="734380F4"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0.0</w:t>
            </w:r>
          </w:p>
        </w:tc>
      </w:tr>
      <w:tr w:rsidR="001E657A" w:rsidRPr="001E657A" w14:paraId="41D35F96" w14:textId="77777777" w:rsidTr="001E657A">
        <w:trPr>
          <w:trHeight w:val="91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37C74F30" w14:textId="77777777"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listed property</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435BB5A" w14:textId="58111BBE"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-0.3</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4C616082" w14:textId="0996EBFC"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-0.3</w:t>
            </w:r>
          </w:p>
        </w:tc>
        <w:tc>
          <w:tcPr>
            <w:tcW w:w="1843" w:type="dxa"/>
            <w:tcBorders>
              <w:top w:val="single" w:sz="8" w:space="0" w:color="auto"/>
              <w:bottom w:val="single" w:sz="8" w:space="0" w:color="auto"/>
            </w:tcBorders>
            <w:vAlign w:val="center"/>
          </w:tcPr>
          <w:p w14:paraId="4EC03BF5" w14:textId="3FB7709F"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0.0</w:t>
            </w:r>
          </w:p>
        </w:tc>
        <w:tc>
          <w:tcPr>
            <w:tcW w:w="1134" w:type="dxa"/>
            <w:tcBorders>
              <w:top w:val="single" w:sz="8" w:space="0" w:color="auto"/>
              <w:bottom w:val="single" w:sz="8" w:space="0" w:color="auto"/>
            </w:tcBorders>
            <w:vAlign w:val="center"/>
          </w:tcPr>
          <w:p w14:paraId="3FC912F3" w14:textId="6F291F9D"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-0.5</w:t>
            </w:r>
          </w:p>
        </w:tc>
        <w:tc>
          <w:tcPr>
            <w:tcW w:w="1984" w:type="dxa"/>
            <w:tcBorders>
              <w:top w:val="single" w:sz="8" w:space="0" w:color="auto"/>
              <w:bottom w:val="single" w:sz="8" w:space="0" w:color="auto"/>
            </w:tcBorders>
            <w:vAlign w:val="center"/>
          </w:tcPr>
          <w:p w14:paraId="1FE8D22A" w14:textId="24DF76F2"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-1.0</w:t>
            </w:r>
          </w:p>
        </w:tc>
      </w:tr>
      <w:tr w:rsidR="001E657A" w:rsidRPr="001E657A" w14:paraId="555C0CA2"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462A4DDD" w14:textId="2B887C76"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listed property</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5FF9F385" w14:textId="493147BC"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0.0</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13002629" w14:textId="62915688"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0.0</w:t>
            </w:r>
          </w:p>
        </w:tc>
        <w:tc>
          <w:tcPr>
            <w:tcW w:w="1843" w:type="dxa"/>
            <w:tcBorders>
              <w:top w:val="single" w:sz="8" w:space="0" w:color="auto"/>
              <w:bottom w:val="single" w:sz="8" w:space="0" w:color="auto"/>
            </w:tcBorders>
            <w:vAlign w:val="center"/>
          </w:tcPr>
          <w:p w14:paraId="07C4BB81" w14:textId="41375B09"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-0.5</w:t>
            </w:r>
          </w:p>
        </w:tc>
        <w:tc>
          <w:tcPr>
            <w:tcW w:w="1134" w:type="dxa"/>
            <w:tcBorders>
              <w:top w:val="single" w:sz="8" w:space="0" w:color="auto"/>
              <w:bottom w:val="single" w:sz="8" w:space="0" w:color="auto"/>
            </w:tcBorders>
            <w:vAlign w:val="center"/>
          </w:tcPr>
          <w:p w14:paraId="2159F7B7" w14:textId="7FBF1CE1"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-0.3</w:t>
            </w:r>
          </w:p>
        </w:tc>
        <w:tc>
          <w:tcPr>
            <w:tcW w:w="1984" w:type="dxa"/>
            <w:tcBorders>
              <w:top w:val="single" w:sz="8" w:space="0" w:color="auto"/>
              <w:bottom w:val="single" w:sz="8" w:space="0" w:color="auto"/>
            </w:tcBorders>
            <w:vAlign w:val="center"/>
          </w:tcPr>
          <w:p w14:paraId="1380F5A2" w14:textId="31B9358F"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-1.8</w:t>
            </w:r>
          </w:p>
        </w:tc>
      </w:tr>
      <w:tr w:rsidR="001E657A" w:rsidRPr="001E657A" w14:paraId="011AD368"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32CA1519" w14:textId="08D5F122" w:rsidR="000E230D" w:rsidRPr="001E657A" w:rsidRDefault="000E230D" w:rsidP="00606E58">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Global fixed income</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0D982F96" w14:textId="5A73F57E" w:rsidR="000E230D"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-0.5</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22663641" w14:textId="742014CD" w:rsidR="000E230D"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-0.5</w:t>
            </w:r>
          </w:p>
        </w:tc>
        <w:tc>
          <w:tcPr>
            <w:tcW w:w="1843" w:type="dxa"/>
            <w:tcBorders>
              <w:top w:val="single" w:sz="8" w:space="0" w:color="auto"/>
              <w:bottom w:val="single" w:sz="8" w:space="0" w:color="auto"/>
            </w:tcBorders>
            <w:vAlign w:val="center"/>
          </w:tcPr>
          <w:p w14:paraId="463C2E42" w14:textId="3040647D" w:rsidR="000E230D"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0.6</w:t>
            </w:r>
          </w:p>
        </w:tc>
        <w:tc>
          <w:tcPr>
            <w:tcW w:w="1134" w:type="dxa"/>
            <w:tcBorders>
              <w:top w:val="single" w:sz="8" w:space="0" w:color="auto"/>
              <w:bottom w:val="single" w:sz="8" w:space="0" w:color="auto"/>
            </w:tcBorders>
            <w:vAlign w:val="center"/>
          </w:tcPr>
          <w:p w14:paraId="0DC7813B" w14:textId="315E7145" w:rsidR="00487BFC" w:rsidRPr="001E657A" w:rsidRDefault="00487BFC" w:rsidP="00487BFC">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r w:rsidR="00241D46" w:rsidRPr="001E657A">
              <w:rPr>
                <w:rFonts w:ascii="Compatil Fact LT Pro" w:eastAsia="Calibri" w:hAnsi="Compatil Fact LT Pro" w:cstheme="majorHAnsi"/>
                <w:color w:val="auto"/>
                <w:sz w:val="19"/>
                <w:szCs w:val="19"/>
                <w:lang w:val="en-AU"/>
              </w:rPr>
              <w:t>1.9</w:t>
            </w:r>
          </w:p>
        </w:tc>
        <w:tc>
          <w:tcPr>
            <w:tcW w:w="1984" w:type="dxa"/>
            <w:tcBorders>
              <w:top w:val="single" w:sz="8" w:space="0" w:color="auto"/>
              <w:bottom w:val="single" w:sz="8" w:space="0" w:color="auto"/>
            </w:tcBorders>
            <w:vAlign w:val="center"/>
          </w:tcPr>
          <w:p w14:paraId="39B57373" w14:textId="2E0899D9" w:rsidR="000E230D"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1E657A" w:rsidRPr="001E657A" w14:paraId="3BCCCCBF" w14:textId="77777777" w:rsidTr="001E657A">
        <w:trPr>
          <w:trHeight w:val="825"/>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7D9FC6D2" w14:textId="43B081D5" w:rsidR="00277570" w:rsidRPr="001E657A" w:rsidRDefault="00D75A60" w:rsidP="00606E58">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Australian fixed income</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759B6EE1" w14:textId="645B2ACF" w:rsidR="00277570" w:rsidRPr="001E657A" w:rsidRDefault="00B009AE" w:rsidP="00606E58">
            <w:pPr>
              <w:spacing w:after="160" w:line="276" w:lineRule="auto"/>
              <w:ind w:right="0"/>
              <w:jc w:val="center"/>
              <w:rPr>
                <w:rFonts w:ascii="Compatil Fact LT Pro" w:eastAsia="Calibri" w:hAnsi="Compatil Fact LT Pro" w:cstheme="majorHAnsi"/>
                <w:color w:val="auto"/>
                <w:sz w:val="19"/>
                <w:szCs w:val="19"/>
                <w:lang w:val="en-AU"/>
              </w:rPr>
            </w:pPr>
            <w:r>
              <w:rPr>
                <w:rFonts w:ascii="Compatil Fact LT Pro" w:eastAsia="Calibri" w:hAnsi="Compatil Fact LT Pro" w:cstheme="majorHAnsi"/>
                <w:color w:val="auto"/>
                <w:sz w:val="19"/>
                <w:szCs w:val="19"/>
                <w:lang w:val="en-AU"/>
              </w:rPr>
              <w:t>1.3</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66F9B309" w14:textId="7EA14DA2" w:rsidR="00277570"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c>
          <w:tcPr>
            <w:tcW w:w="1843" w:type="dxa"/>
            <w:tcBorders>
              <w:top w:val="single" w:sz="8" w:space="0" w:color="auto"/>
              <w:bottom w:val="single" w:sz="8" w:space="0" w:color="auto"/>
            </w:tcBorders>
            <w:vAlign w:val="center"/>
          </w:tcPr>
          <w:p w14:paraId="14563F82" w14:textId="3B4BA880" w:rsidR="00277570"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-2.1</w:t>
            </w:r>
          </w:p>
        </w:tc>
        <w:tc>
          <w:tcPr>
            <w:tcW w:w="1134" w:type="dxa"/>
            <w:tcBorders>
              <w:top w:val="single" w:sz="8" w:space="0" w:color="auto"/>
              <w:bottom w:val="single" w:sz="8" w:space="0" w:color="auto"/>
            </w:tcBorders>
            <w:vAlign w:val="center"/>
          </w:tcPr>
          <w:p w14:paraId="4BCF0C88" w14:textId="315BE4D4" w:rsidR="00277570" w:rsidRPr="001E657A" w:rsidRDefault="00487BFC"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1.0</w:t>
            </w:r>
          </w:p>
        </w:tc>
        <w:tc>
          <w:tcPr>
            <w:tcW w:w="1984" w:type="dxa"/>
            <w:tcBorders>
              <w:top w:val="single" w:sz="8" w:space="0" w:color="auto"/>
              <w:bottom w:val="single" w:sz="8" w:space="0" w:color="auto"/>
            </w:tcBorders>
            <w:vAlign w:val="center"/>
          </w:tcPr>
          <w:p w14:paraId="6120A0FC" w14:textId="77777777" w:rsidR="00277570" w:rsidRPr="001E657A" w:rsidRDefault="00277570" w:rsidP="00606E58">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w:t>
            </w:r>
          </w:p>
        </w:tc>
      </w:tr>
      <w:tr w:rsidR="001E657A" w:rsidRPr="001E657A" w14:paraId="562C70A1" w14:textId="77777777" w:rsidTr="001E657A">
        <w:trPr>
          <w:trHeight w:val="754"/>
        </w:trPr>
        <w:tc>
          <w:tcPr>
            <w:tcW w:w="2127" w:type="dxa"/>
            <w:tcBorders>
              <w:top w:val="single" w:sz="8" w:space="0" w:color="auto"/>
              <w:left w:val="nil"/>
              <w:bottom w:val="single" w:sz="8" w:space="0" w:color="auto"/>
              <w:right w:val="nil"/>
            </w:tcBorders>
            <w:tcMar>
              <w:top w:w="0" w:type="dxa"/>
              <w:left w:w="108" w:type="dxa"/>
              <w:bottom w:w="0" w:type="dxa"/>
              <w:right w:w="108" w:type="dxa"/>
            </w:tcMar>
            <w:vAlign w:val="center"/>
          </w:tcPr>
          <w:p w14:paraId="13B95BEB" w14:textId="1A0B72A7" w:rsidR="001E657A" w:rsidRPr="001E657A" w:rsidRDefault="001E657A" w:rsidP="001E657A">
            <w:pPr>
              <w:spacing w:after="160" w:line="276" w:lineRule="auto"/>
              <w:ind w:right="0"/>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Cash</w:t>
            </w:r>
          </w:p>
        </w:tc>
        <w:tc>
          <w:tcPr>
            <w:tcW w:w="1984" w:type="dxa"/>
            <w:tcBorders>
              <w:top w:val="single" w:sz="8" w:space="0" w:color="auto"/>
              <w:left w:val="nil"/>
              <w:bottom w:val="single" w:sz="8" w:space="0" w:color="auto"/>
              <w:right w:val="nil"/>
            </w:tcBorders>
            <w:tcMar>
              <w:top w:w="0" w:type="dxa"/>
              <w:left w:w="108" w:type="dxa"/>
              <w:bottom w:w="0" w:type="dxa"/>
              <w:right w:w="108" w:type="dxa"/>
            </w:tcMar>
            <w:vAlign w:val="center"/>
          </w:tcPr>
          <w:p w14:paraId="4907F20E" w14:textId="29EBD96E"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-1.9</w:t>
            </w:r>
          </w:p>
        </w:tc>
        <w:tc>
          <w:tcPr>
            <w:tcW w:w="1134" w:type="dxa"/>
            <w:tcBorders>
              <w:top w:val="single" w:sz="8" w:space="0" w:color="auto"/>
              <w:bottom w:val="single" w:sz="8" w:space="0" w:color="auto"/>
            </w:tcBorders>
            <w:tcMar>
              <w:top w:w="0" w:type="dxa"/>
              <w:left w:w="108" w:type="dxa"/>
              <w:bottom w:w="0" w:type="dxa"/>
              <w:right w:w="108" w:type="dxa"/>
            </w:tcMar>
            <w:vAlign w:val="center"/>
          </w:tcPr>
          <w:p w14:paraId="50DDD8F4" w14:textId="1582CE55"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w:t>
            </w:r>
            <w:r w:rsidR="00B009AE">
              <w:rPr>
                <w:rFonts w:ascii="Compatil Fact LT Pro" w:eastAsia="Calibri" w:hAnsi="Compatil Fact LT Pro" w:cstheme="majorHAnsi"/>
                <w:color w:val="auto"/>
                <w:sz w:val="19"/>
                <w:szCs w:val="19"/>
                <w:lang w:val="en-AU"/>
              </w:rPr>
              <w:t>1</w:t>
            </w:r>
          </w:p>
        </w:tc>
        <w:tc>
          <w:tcPr>
            <w:tcW w:w="1843" w:type="dxa"/>
            <w:tcBorders>
              <w:top w:val="single" w:sz="8" w:space="0" w:color="auto"/>
              <w:bottom w:val="single" w:sz="8" w:space="0" w:color="auto"/>
            </w:tcBorders>
            <w:vAlign w:val="center"/>
          </w:tcPr>
          <w:p w14:paraId="69D8E89F" w14:textId="79147BFF"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1.3</w:t>
            </w:r>
          </w:p>
        </w:tc>
        <w:tc>
          <w:tcPr>
            <w:tcW w:w="1134" w:type="dxa"/>
            <w:tcBorders>
              <w:top w:val="single" w:sz="8" w:space="0" w:color="auto"/>
              <w:bottom w:val="single" w:sz="8" w:space="0" w:color="auto"/>
            </w:tcBorders>
            <w:vAlign w:val="center"/>
          </w:tcPr>
          <w:p w14:paraId="41610FC0" w14:textId="4F9B6764"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w:t>
            </w:r>
            <w:r w:rsidR="004C05F2">
              <w:rPr>
                <w:rFonts w:ascii="Compatil Fact LT Pro" w:eastAsia="Calibri" w:hAnsi="Compatil Fact LT Pro" w:cstheme="majorHAnsi"/>
                <w:color w:val="auto"/>
                <w:sz w:val="19"/>
                <w:szCs w:val="19"/>
                <w:lang w:val="en-AU"/>
              </w:rPr>
              <w:t>2</w:t>
            </w:r>
          </w:p>
        </w:tc>
        <w:tc>
          <w:tcPr>
            <w:tcW w:w="1984" w:type="dxa"/>
            <w:tcBorders>
              <w:top w:val="single" w:sz="8" w:space="0" w:color="auto"/>
              <w:bottom w:val="single" w:sz="8" w:space="0" w:color="auto"/>
            </w:tcBorders>
            <w:vAlign w:val="center"/>
          </w:tcPr>
          <w:p w14:paraId="43A6197C" w14:textId="4913BE57" w:rsidR="001E657A" w:rsidRPr="001E657A" w:rsidRDefault="001E657A" w:rsidP="001E657A">
            <w:pPr>
              <w:spacing w:after="160" w:line="276" w:lineRule="auto"/>
              <w:ind w:right="0"/>
              <w:jc w:val="center"/>
              <w:rPr>
                <w:rFonts w:ascii="Compatil Fact LT Pro" w:eastAsia="Calibri" w:hAnsi="Compatil Fact LT Pro" w:cstheme="majorHAnsi"/>
                <w:color w:val="auto"/>
                <w:sz w:val="19"/>
                <w:szCs w:val="19"/>
                <w:lang w:val="en-AU"/>
              </w:rPr>
            </w:pPr>
            <w:r w:rsidRPr="001E657A">
              <w:rPr>
                <w:rFonts w:ascii="Compatil Fact LT Pro" w:eastAsia="Calibri" w:hAnsi="Compatil Fact LT Pro" w:cstheme="majorHAnsi"/>
                <w:color w:val="auto"/>
                <w:sz w:val="19"/>
                <w:szCs w:val="19"/>
                <w:lang w:val="en-AU"/>
              </w:rPr>
              <w:t>0.8</w:t>
            </w:r>
          </w:p>
        </w:tc>
      </w:tr>
    </w:tbl>
    <w:p w14:paraId="66362493" w14:textId="77777777" w:rsidR="00277570" w:rsidRPr="00FD3653" w:rsidRDefault="00277570" w:rsidP="00FD3653">
      <w:pPr>
        <w:spacing w:after="160" w:line="276" w:lineRule="auto"/>
        <w:ind w:right="0"/>
        <w:rPr>
          <w:rFonts w:ascii="Compatil Fact LT Pro" w:eastAsia="Calibri" w:hAnsi="Compatil Fact LT Pro" w:cstheme="majorHAnsi"/>
          <w:color w:val="auto"/>
          <w:sz w:val="21"/>
          <w:szCs w:val="21"/>
          <w:lang w:val="en-AU"/>
        </w:rPr>
      </w:pPr>
    </w:p>
    <w:p w14:paraId="09548CD0" w14:textId="36BCCEE7" w:rsidR="00277570" w:rsidRDefault="00277570">
      <w:pPr>
        <w:spacing w:after="0"/>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br w:type="page"/>
      </w:r>
    </w:p>
    <w:p w14:paraId="15043858" w14:textId="7FB71A19" w:rsidR="00277570" w:rsidRPr="00A052F4" w:rsidRDefault="00277570"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lastRenderedPageBreak/>
        <w:t xml:space="preserve">Final asset class </w:t>
      </w:r>
      <w:r w:rsidR="00F91360">
        <w:rPr>
          <w:rFonts w:ascii="Compatil Fact LT Pro" w:hAnsi="Compatil Fact LT Pro"/>
          <w:color w:val="005596" w:themeColor="accent4"/>
          <w:sz w:val="24"/>
          <w:szCs w:val="28"/>
        </w:rPr>
        <w:t xml:space="preserve">allocations </w:t>
      </w:r>
      <w:r w:rsidRPr="00A052F4">
        <w:rPr>
          <w:rFonts w:ascii="Compatil Fact LT Pro" w:hAnsi="Compatil Fact LT Pro"/>
          <w:color w:val="005596" w:themeColor="accent4"/>
          <w:sz w:val="24"/>
          <w:szCs w:val="28"/>
        </w:rPr>
        <w:t>after these changes (%)</w:t>
      </w:r>
      <w:r w:rsidRPr="00A052F4">
        <w:rPr>
          <w:rFonts w:ascii="Compatil Fact LT Pro" w:hAnsi="Compatil Fact LT Pro"/>
          <w:color w:val="005596" w:themeColor="accent4"/>
          <w:sz w:val="24"/>
          <w:szCs w:val="28"/>
          <w:vertAlign w:val="superscript"/>
        </w:rPr>
        <w:footnoteReference w:id="2"/>
      </w:r>
    </w:p>
    <w:tbl>
      <w:tblPr>
        <w:tblW w:w="10065" w:type="dxa"/>
        <w:tblBorders>
          <w:top w:val="single" w:sz="24" w:space="0" w:color="auto"/>
          <w:bottom w:val="single" w:sz="8" w:space="0" w:color="auto"/>
          <w:insideH w:val="single" w:sz="8" w:space="0" w:color="auto"/>
        </w:tblBorders>
        <w:tblLayout w:type="fixed"/>
        <w:tblCellMar>
          <w:left w:w="0" w:type="dxa"/>
          <w:right w:w="0" w:type="dxa"/>
        </w:tblCellMar>
        <w:tblLook w:val="04A0" w:firstRow="1" w:lastRow="0" w:firstColumn="1" w:lastColumn="0" w:noHBand="0" w:noVBand="1"/>
      </w:tblPr>
      <w:tblGrid>
        <w:gridCol w:w="1985"/>
        <w:gridCol w:w="1701"/>
        <w:gridCol w:w="1276"/>
        <w:gridCol w:w="1842"/>
        <w:gridCol w:w="1276"/>
        <w:gridCol w:w="1985"/>
      </w:tblGrid>
      <w:tr w:rsidR="00277570" w:rsidRPr="00143C2F" w14:paraId="2C7B931D" w14:textId="77777777" w:rsidTr="001040BA">
        <w:trPr>
          <w:trHeight w:val="638"/>
        </w:trPr>
        <w:tc>
          <w:tcPr>
            <w:tcW w:w="1985" w:type="dxa"/>
            <w:tcBorders>
              <w:top w:val="single" w:sz="24" w:space="0" w:color="auto"/>
              <w:bottom w:val="nil"/>
            </w:tcBorders>
            <w:shd w:val="clear" w:color="auto" w:fill="D9D9D9" w:themeFill="background1" w:themeFillShade="D9"/>
            <w:tcMar>
              <w:top w:w="0" w:type="dxa"/>
              <w:left w:w="108" w:type="dxa"/>
              <w:bottom w:w="0" w:type="dxa"/>
              <w:right w:w="108" w:type="dxa"/>
            </w:tcMar>
          </w:tcPr>
          <w:p w14:paraId="5DF234C6" w14:textId="77777777" w:rsidR="00277570" w:rsidRPr="00143C2F" w:rsidRDefault="00277570" w:rsidP="000A344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ASSET CLASS</w:t>
            </w:r>
          </w:p>
        </w:tc>
        <w:tc>
          <w:tcPr>
            <w:tcW w:w="8080" w:type="dxa"/>
            <w:gridSpan w:val="5"/>
            <w:tcBorders>
              <w:top w:val="single" w:sz="24" w:space="0" w:color="auto"/>
              <w:bottom w:val="single" w:sz="2" w:space="0" w:color="auto"/>
            </w:tcBorders>
            <w:shd w:val="clear" w:color="auto" w:fill="D9D9D9" w:themeFill="background1" w:themeFillShade="D9"/>
            <w:tcMar>
              <w:top w:w="0" w:type="dxa"/>
              <w:left w:w="108" w:type="dxa"/>
              <w:bottom w:w="0" w:type="dxa"/>
              <w:right w:w="108" w:type="dxa"/>
            </w:tcMar>
          </w:tcPr>
          <w:p w14:paraId="2FDF8199" w14:textId="77777777" w:rsidR="00277570" w:rsidRPr="00143C2F" w:rsidRDefault="00277570"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RISK PROFILE</w:t>
            </w:r>
          </w:p>
        </w:tc>
      </w:tr>
      <w:tr w:rsidR="001040BA" w:rsidRPr="00143C2F" w14:paraId="7C40F10B" w14:textId="77777777" w:rsidTr="001040BA">
        <w:trPr>
          <w:trHeight w:val="638"/>
        </w:trPr>
        <w:tc>
          <w:tcPr>
            <w:tcW w:w="1985" w:type="dxa"/>
            <w:tcBorders>
              <w:top w:val="nil"/>
              <w:bottom w:val="single" w:sz="24" w:space="0" w:color="auto"/>
            </w:tcBorders>
            <w:shd w:val="clear" w:color="auto" w:fill="D9D9D9" w:themeFill="background1" w:themeFillShade="D9"/>
            <w:tcMar>
              <w:top w:w="0" w:type="dxa"/>
              <w:left w:w="108" w:type="dxa"/>
              <w:bottom w:w="0" w:type="dxa"/>
              <w:right w:w="108" w:type="dxa"/>
            </w:tcMar>
            <w:hideMark/>
          </w:tcPr>
          <w:p w14:paraId="1BC792C8" w14:textId="77777777" w:rsidR="001040BA" w:rsidRPr="00143C2F" w:rsidRDefault="001040BA" w:rsidP="000A3440">
            <w:pPr>
              <w:spacing w:after="160" w:line="276" w:lineRule="auto"/>
              <w:ind w:right="0"/>
              <w:rPr>
                <w:rFonts w:ascii="Compatil Fact LT Pro" w:eastAsia="Calibri" w:hAnsi="Compatil Fact LT Pro" w:cstheme="majorHAnsi"/>
                <w:b/>
                <w:bCs/>
                <w:color w:val="auto"/>
                <w:sz w:val="19"/>
                <w:szCs w:val="19"/>
                <w:lang w:val="en-AU"/>
              </w:rPr>
            </w:pPr>
          </w:p>
        </w:tc>
        <w:tc>
          <w:tcPr>
            <w:tcW w:w="1701" w:type="dxa"/>
            <w:tcBorders>
              <w:top w:val="single" w:sz="2" w:space="0" w:color="auto"/>
              <w:bottom w:val="single" w:sz="24" w:space="0" w:color="auto"/>
            </w:tcBorders>
            <w:shd w:val="clear" w:color="auto" w:fill="D9D9D9" w:themeFill="background1" w:themeFillShade="D9"/>
            <w:tcMar>
              <w:top w:w="0" w:type="dxa"/>
              <w:left w:w="108" w:type="dxa"/>
              <w:bottom w:w="0" w:type="dxa"/>
              <w:right w:w="108" w:type="dxa"/>
            </w:tcMar>
          </w:tcPr>
          <w:p w14:paraId="5256D4ED"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CONSERVATIVE</w:t>
            </w:r>
          </w:p>
        </w:tc>
        <w:tc>
          <w:tcPr>
            <w:tcW w:w="1276" w:type="dxa"/>
            <w:tcBorders>
              <w:top w:val="single" w:sz="2" w:space="0" w:color="auto"/>
              <w:bottom w:val="single" w:sz="24" w:space="0" w:color="auto"/>
            </w:tcBorders>
            <w:shd w:val="clear" w:color="auto" w:fill="D9D9D9" w:themeFill="background1" w:themeFillShade="D9"/>
            <w:tcMar>
              <w:top w:w="0" w:type="dxa"/>
              <w:left w:w="108" w:type="dxa"/>
              <w:bottom w:w="0" w:type="dxa"/>
              <w:right w:w="108" w:type="dxa"/>
            </w:tcMar>
            <w:hideMark/>
          </w:tcPr>
          <w:p w14:paraId="683372DE"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DIV 50</w:t>
            </w:r>
          </w:p>
        </w:tc>
        <w:tc>
          <w:tcPr>
            <w:tcW w:w="1842" w:type="dxa"/>
            <w:tcBorders>
              <w:top w:val="single" w:sz="2" w:space="0" w:color="auto"/>
              <w:bottom w:val="single" w:sz="24" w:space="0" w:color="auto"/>
            </w:tcBorders>
            <w:shd w:val="clear" w:color="auto" w:fill="D9D9D9" w:themeFill="background1" w:themeFillShade="D9"/>
          </w:tcPr>
          <w:p w14:paraId="18CAA8A2"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BALANCED</w:t>
            </w:r>
          </w:p>
        </w:tc>
        <w:tc>
          <w:tcPr>
            <w:tcW w:w="1276" w:type="dxa"/>
            <w:tcBorders>
              <w:top w:val="single" w:sz="2" w:space="0" w:color="auto"/>
              <w:bottom w:val="single" w:sz="24" w:space="0" w:color="auto"/>
            </w:tcBorders>
            <w:shd w:val="clear" w:color="auto" w:fill="D9D9D9" w:themeFill="background1" w:themeFillShade="D9"/>
          </w:tcPr>
          <w:p w14:paraId="31B41D9A"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GROWTH</w:t>
            </w:r>
          </w:p>
        </w:tc>
        <w:tc>
          <w:tcPr>
            <w:tcW w:w="1985" w:type="dxa"/>
            <w:tcBorders>
              <w:top w:val="single" w:sz="2" w:space="0" w:color="auto"/>
              <w:bottom w:val="single" w:sz="24" w:space="0" w:color="auto"/>
            </w:tcBorders>
            <w:shd w:val="clear" w:color="auto" w:fill="D9D9D9" w:themeFill="background1" w:themeFillShade="D9"/>
          </w:tcPr>
          <w:p w14:paraId="65E0731C" w14:textId="77777777" w:rsidR="001040BA" w:rsidRPr="00143C2F" w:rsidRDefault="001040BA" w:rsidP="000A3440">
            <w:pPr>
              <w:spacing w:after="160" w:line="276" w:lineRule="auto"/>
              <w:ind w:right="0"/>
              <w:jc w:val="center"/>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HIGH GROWTH</w:t>
            </w:r>
          </w:p>
        </w:tc>
      </w:tr>
      <w:tr w:rsidR="006E46F0" w:rsidRPr="006E46F0" w14:paraId="779B8412" w14:textId="77777777" w:rsidTr="006E46F0">
        <w:trPr>
          <w:trHeight w:val="574"/>
        </w:trPr>
        <w:tc>
          <w:tcPr>
            <w:tcW w:w="1985"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626C3B97" w14:textId="77777777" w:rsidR="006E46F0" w:rsidRPr="00143C2F" w:rsidRDefault="006E46F0" w:rsidP="006E46F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GROWTH ASSETS</w:t>
            </w:r>
          </w:p>
        </w:tc>
        <w:tc>
          <w:tcPr>
            <w:tcW w:w="1701"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6D36EECA" w14:textId="1EE52BC7"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35.0</w:t>
            </w:r>
          </w:p>
        </w:tc>
        <w:tc>
          <w:tcPr>
            <w:tcW w:w="1276"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vAlign w:val="center"/>
          </w:tcPr>
          <w:p w14:paraId="6F739A8A" w14:textId="53F3C99D"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53.4</w:t>
            </w:r>
          </w:p>
        </w:tc>
        <w:tc>
          <w:tcPr>
            <w:tcW w:w="1842" w:type="dxa"/>
            <w:tcBorders>
              <w:top w:val="single" w:sz="8" w:space="0" w:color="auto"/>
              <w:bottom w:val="single" w:sz="8" w:space="0" w:color="auto"/>
            </w:tcBorders>
            <w:shd w:val="clear" w:color="auto" w:fill="D9D9D9" w:themeFill="background1" w:themeFillShade="D9"/>
            <w:vAlign w:val="center"/>
          </w:tcPr>
          <w:p w14:paraId="40FC9459" w14:textId="3AC9502B"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69.7</w:t>
            </w:r>
          </w:p>
        </w:tc>
        <w:tc>
          <w:tcPr>
            <w:tcW w:w="1276" w:type="dxa"/>
            <w:tcBorders>
              <w:top w:val="single" w:sz="8" w:space="0" w:color="auto"/>
              <w:bottom w:val="single" w:sz="8" w:space="0" w:color="auto"/>
            </w:tcBorders>
            <w:shd w:val="clear" w:color="auto" w:fill="D9D9D9" w:themeFill="background1" w:themeFillShade="D9"/>
            <w:vAlign w:val="center"/>
          </w:tcPr>
          <w:p w14:paraId="34D3E9AF" w14:textId="45099F0F"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86.0</w:t>
            </w:r>
          </w:p>
        </w:tc>
        <w:tc>
          <w:tcPr>
            <w:tcW w:w="1985" w:type="dxa"/>
            <w:tcBorders>
              <w:top w:val="single" w:sz="8" w:space="0" w:color="auto"/>
              <w:bottom w:val="single" w:sz="8" w:space="0" w:color="auto"/>
            </w:tcBorders>
            <w:shd w:val="clear" w:color="auto" w:fill="D9D9D9" w:themeFill="background1" w:themeFillShade="D9"/>
            <w:vAlign w:val="center"/>
          </w:tcPr>
          <w:p w14:paraId="40B89FC3" w14:textId="1C889C93"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98.2</w:t>
            </w:r>
          </w:p>
        </w:tc>
      </w:tr>
      <w:tr w:rsidR="006E46F0" w:rsidRPr="006E46F0" w14:paraId="2BBC983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242692F6"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equity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6E0BAE9" w14:textId="0065181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12.9</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66F6ACB" w14:textId="065F2133"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20.9</w:t>
            </w:r>
          </w:p>
        </w:tc>
        <w:tc>
          <w:tcPr>
            <w:tcW w:w="1842" w:type="dxa"/>
            <w:tcBorders>
              <w:top w:val="single" w:sz="8" w:space="0" w:color="auto"/>
              <w:bottom w:val="single" w:sz="8" w:space="0" w:color="auto"/>
            </w:tcBorders>
            <w:vAlign w:val="center"/>
          </w:tcPr>
          <w:p w14:paraId="1B60A1D3" w14:textId="51BCD6F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27.9</w:t>
            </w:r>
          </w:p>
        </w:tc>
        <w:tc>
          <w:tcPr>
            <w:tcW w:w="1276" w:type="dxa"/>
            <w:tcBorders>
              <w:top w:val="single" w:sz="8" w:space="0" w:color="auto"/>
              <w:bottom w:val="single" w:sz="8" w:space="0" w:color="auto"/>
            </w:tcBorders>
            <w:vAlign w:val="center"/>
          </w:tcPr>
          <w:p w14:paraId="652CD858" w14:textId="25DCAFD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34.4</w:t>
            </w:r>
          </w:p>
        </w:tc>
        <w:tc>
          <w:tcPr>
            <w:tcW w:w="1985" w:type="dxa"/>
            <w:tcBorders>
              <w:top w:val="single" w:sz="8" w:space="0" w:color="auto"/>
              <w:bottom w:val="single" w:sz="8" w:space="0" w:color="auto"/>
            </w:tcBorders>
            <w:vAlign w:val="center"/>
          </w:tcPr>
          <w:p w14:paraId="047486C2" w14:textId="06FE917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41.6</w:t>
            </w:r>
          </w:p>
        </w:tc>
      </w:tr>
      <w:tr w:rsidR="006E46F0" w:rsidRPr="006E46F0" w14:paraId="1F449B51"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7D272A06"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equity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6284180C" w14:textId="72EA444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15.7</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009B658C" w14:textId="3C2D35D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25.7</w:t>
            </w:r>
          </w:p>
        </w:tc>
        <w:tc>
          <w:tcPr>
            <w:tcW w:w="1842" w:type="dxa"/>
            <w:tcBorders>
              <w:top w:val="single" w:sz="8" w:space="0" w:color="auto"/>
              <w:bottom w:val="single" w:sz="8" w:space="0" w:color="auto"/>
            </w:tcBorders>
            <w:vAlign w:val="center"/>
          </w:tcPr>
          <w:p w14:paraId="64934F86" w14:textId="5E249E7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33.6</w:t>
            </w:r>
          </w:p>
        </w:tc>
        <w:tc>
          <w:tcPr>
            <w:tcW w:w="1276" w:type="dxa"/>
            <w:tcBorders>
              <w:top w:val="single" w:sz="8" w:space="0" w:color="auto"/>
              <w:bottom w:val="single" w:sz="8" w:space="0" w:color="auto"/>
            </w:tcBorders>
            <w:vAlign w:val="center"/>
          </w:tcPr>
          <w:p w14:paraId="025EB335" w14:textId="54A4329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43.1</w:t>
            </w:r>
          </w:p>
        </w:tc>
        <w:tc>
          <w:tcPr>
            <w:tcW w:w="1985" w:type="dxa"/>
            <w:tcBorders>
              <w:top w:val="single" w:sz="8" w:space="0" w:color="auto"/>
              <w:bottom w:val="single" w:sz="8" w:space="0" w:color="auto"/>
            </w:tcBorders>
            <w:vAlign w:val="center"/>
          </w:tcPr>
          <w:p w14:paraId="060DA9EF" w14:textId="4C37BDC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48.1</w:t>
            </w:r>
          </w:p>
        </w:tc>
      </w:tr>
      <w:tr w:rsidR="006E46F0" w:rsidRPr="006E46F0" w14:paraId="49EFFEA7"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260745AC"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property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008A9C3" w14:textId="554EF282"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0.7</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7653BE2" w14:textId="14545DE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0.8</w:t>
            </w:r>
          </w:p>
        </w:tc>
        <w:tc>
          <w:tcPr>
            <w:tcW w:w="1842" w:type="dxa"/>
            <w:tcBorders>
              <w:top w:val="single" w:sz="8" w:space="0" w:color="auto"/>
              <w:bottom w:val="single" w:sz="8" w:space="0" w:color="auto"/>
            </w:tcBorders>
            <w:vAlign w:val="center"/>
          </w:tcPr>
          <w:p w14:paraId="31B74716" w14:textId="7DF3F39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0.9</w:t>
            </w:r>
          </w:p>
        </w:tc>
        <w:tc>
          <w:tcPr>
            <w:tcW w:w="1276" w:type="dxa"/>
            <w:tcBorders>
              <w:top w:val="single" w:sz="8" w:space="0" w:color="auto"/>
              <w:bottom w:val="single" w:sz="8" w:space="0" w:color="auto"/>
            </w:tcBorders>
            <w:vAlign w:val="center"/>
          </w:tcPr>
          <w:p w14:paraId="5F2EF361" w14:textId="0FD6D6B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1.4</w:t>
            </w:r>
          </w:p>
        </w:tc>
        <w:tc>
          <w:tcPr>
            <w:tcW w:w="1985" w:type="dxa"/>
            <w:tcBorders>
              <w:top w:val="single" w:sz="8" w:space="0" w:color="auto"/>
              <w:bottom w:val="single" w:sz="8" w:space="0" w:color="auto"/>
            </w:tcBorders>
            <w:vAlign w:val="center"/>
          </w:tcPr>
          <w:p w14:paraId="273BA8A8" w14:textId="4F22F5D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1.6</w:t>
            </w:r>
          </w:p>
        </w:tc>
      </w:tr>
      <w:tr w:rsidR="006E46F0" w:rsidRPr="006E46F0" w14:paraId="759D6DEC"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17093A24"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property</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58083904" w14:textId="3FFD45A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E80224C" w14:textId="4706B26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2.8</w:t>
            </w:r>
          </w:p>
        </w:tc>
        <w:tc>
          <w:tcPr>
            <w:tcW w:w="1842" w:type="dxa"/>
            <w:tcBorders>
              <w:top w:val="single" w:sz="8" w:space="0" w:color="auto"/>
              <w:bottom w:val="single" w:sz="8" w:space="0" w:color="auto"/>
            </w:tcBorders>
            <w:vAlign w:val="center"/>
          </w:tcPr>
          <w:p w14:paraId="24B0A144" w14:textId="3BBC7A6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3.9</w:t>
            </w:r>
          </w:p>
        </w:tc>
        <w:tc>
          <w:tcPr>
            <w:tcW w:w="1276" w:type="dxa"/>
            <w:tcBorders>
              <w:top w:val="single" w:sz="8" w:space="0" w:color="auto"/>
              <w:bottom w:val="single" w:sz="8" w:space="0" w:color="auto"/>
            </w:tcBorders>
            <w:vAlign w:val="center"/>
          </w:tcPr>
          <w:p w14:paraId="27277782" w14:textId="38301C72"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3.2</w:t>
            </w:r>
          </w:p>
        </w:tc>
        <w:tc>
          <w:tcPr>
            <w:tcW w:w="1985" w:type="dxa"/>
            <w:tcBorders>
              <w:top w:val="single" w:sz="8" w:space="0" w:color="auto"/>
              <w:bottom w:val="single" w:sz="8" w:space="0" w:color="auto"/>
            </w:tcBorders>
            <w:vAlign w:val="center"/>
          </w:tcPr>
          <w:p w14:paraId="30208CD8" w14:textId="6B782E9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2.8</w:t>
            </w:r>
          </w:p>
        </w:tc>
      </w:tr>
      <w:tr w:rsidR="006E46F0" w:rsidRPr="006E46F0" w14:paraId="3123E7A8"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338EDB5D"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Infrastructure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A825688" w14:textId="1A3C126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1.5</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53E476B" w14:textId="7E5B47B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1.3</w:t>
            </w:r>
          </w:p>
        </w:tc>
        <w:tc>
          <w:tcPr>
            <w:tcW w:w="1842" w:type="dxa"/>
            <w:tcBorders>
              <w:top w:val="single" w:sz="8" w:space="0" w:color="auto"/>
              <w:bottom w:val="single" w:sz="8" w:space="0" w:color="auto"/>
            </w:tcBorders>
            <w:vAlign w:val="center"/>
          </w:tcPr>
          <w:p w14:paraId="0146AD90" w14:textId="1BD18413"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2.2</w:t>
            </w:r>
          </w:p>
        </w:tc>
        <w:tc>
          <w:tcPr>
            <w:tcW w:w="1276" w:type="dxa"/>
            <w:tcBorders>
              <w:top w:val="single" w:sz="8" w:space="0" w:color="auto"/>
              <w:bottom w:val="single" w:sz="8" w:space="0" w:color="auto"/>
            </w:tcBorders>
            <w:vAlign w:val="center"/>
          </w:tcPr>
          <w:p w14:paraId="0F7D310D" w14:textId="4538047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2.6</w:t>
            </w:r>
          </w:p>
        </w:tc>
        <w:tc>
          <w:tcPr>
            <w:tcW w:w="1985" w:type="dxa"/>
            <w:tcBorders>
              <w:top w:val="single" w:sz="8" w:space="0" w:color="auto"/>
              <w:bottom w:val="single" w:sz="8" w:space="0" w:color="auto"/>
            </w:tcBorders>
            <w:vAlign w:val="center"/>
          </w:tcPr>
          <w:p w14:paraId="50CF7AFE" w14:textId="31C26ADC"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4.1</w:t>
            </w:r>
          </w:p>
        </w:tc>
      </w:tr>
      <w:tr w:rsidR="006E46F0" w:rsidRPr="006E46F0" w14:paraId="6A0E70A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97AF6F7"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Growth alternatives</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D6140E5" w14:textId="77A8126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7033887" w14:textId="32F4052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842" w:type="dxa"/>
            <w:tcBorders>
              <w:top w:val="single" w:sz="8" w:space="0" w:color="auto"/>
              <w:bottom w:val="single" w:sz="8" w:space="0" w:color="auto"/>
            </w:tcBorders>
            <w:vAlign w:val="center"/>
          </w:tcPr>
          <w:p w14:paraId="019C7ABF" w14:textId="0839B3F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vAlign w:val="center"/>
          </w:tcPr>
          <w:p w14:paraId="6B1DB3D9" w14:textId="03762DA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985" w:type="dxa"/>
            <w:tcBorders>
              <w:top w:val="single" w:sz="8" w:space="0" w:color="auto"/>
              <w:bottom w:val="single" w:sz="8" w:space="0" w:color="auto"/>
            </w:tcBorders>
            <w:vAlign w:val="center"/>
          </w:tcPr>
          <w:p w14:paraId="6D896A17" w14:textId="472CEBD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B0BACC2"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703A6F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Extended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228D001" w14:textId="3AB509E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2.5</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2C0AFC0" w14:textId="07B9DE7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c>
          <w:tcPr>
            <w:tcW w:w="1842" w:type="dxa"/>
            <w:tcBorders>
              <w:top w:val="single" w:sz="8" w:space="0" w:color="auto"/>
              <w:bottom w:val="single" w:sz="8" w:space="0" w:color="auto"/>
            </w:tcBorders>
            <w:vAlign w:val="center"/>
          </w:tcPr>
          <w:p w14:paraId="5523161E" w14:textId="7802DD9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1.2</w:t>
            </w:r>
          </w:p>
        </w:tc>
        <w:tc>
          <w:tcPr>
            <w:tcW w:w="1276" w:type="dxa"/>
            <w:tcBorders>
              <w:top w:val="single" w:sz="8" w:space="0" w:color="auto"/>
              <w:bottom w:val="single" w:sz="8" w:space="0" w:color="auto"/>
            </w:tcBorders>
            <w:vAlign w:val="center"/>
          </w:tcPr>
          <w:p w14:paraId="3E144DAC" w14:textId="2339F2E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1.2</w:t>
            </w:r>
          </w:p>
        </w:tc>
        <w:tc>
          <w:tcPr>
            <w:tcW w:w="1985" w:type="dxa"/>
            <w:tcBorders>
              <w:top w:val="single" w:sz="8" w:space="0" w:color="auto"/>
              <w:bottom w:val="single" w:sz="8" w:space="0" w:color="auto"/>
            </w:tcBorders>
            <w:vAlign w:val="center"/>
          </w:tcPr>
          <w:p w14:paraId="2BF491FB" w14:textId="0B6AF9E5"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6E1FE446" w14:textId="77777777" w:rsidTr="006E46F0">
        <w:trPr>
          <w:trHeight w:val="574"/>
        </w:trPr>
        <w:tc>
          <w:tcPr>
            <w:tcW w:w="1985"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49EF5E5A" w14:textId="77777777" w:rsidR="006E46F0" w:rsidRPr="00143C2F" w:rsidRDefault="006E46F0" w:rsidP="006E46F0">
            <w:pPr>
              <w:spacing w:after="160" w:line="276" w:lineRule="auto"/>
              <w:ind w:right="0"/>
              <w:rPr>
                <w:rFonts w:ascii="Compatil Fact LT Pro" w:eastAsia="Calibri" w:hAnsi="Compatil Fact LT Pro" w:cstheme="majorHAnsi"/>
                <w:b/>
                <w:bCs/>
                <w:color w:val="auto"/>
                <w:sz w:val="19"/>
                <w:szCs w:val="19"/>
                <w:lang w:val="en-AU"/>
              </w:rPr>
            </w:pPr>
            <w:r w:rsidRPr="00143C2F">
              <w:rPr>
                <w:rFonts w:ascii="Compatil Fact LT Pro" w:eastAsia="Calibri" w:hAnsi="Compatil Fact LT Pro" w:cstheme="majorHAnsi"/>
                <w:b/>
                <w:bCs/>
                <w:color w:val="auto"/>
                <w:sz w:val="19"/>
                <w:szCs w:val="19"/>
                <w:lang w:val="en-AU"/>
              </w:rPr>
              <w:t>DEFENSIVE ASSETS</w:t>
            </w:r>
          </w:p>
        </w:tc>
        <w:tc>
          <w:tcPr>
            <w:tcW w:w="1701" w:type="dxa"/>
            <w:tcBorders>
              <w:top w:val="single" w:sz="8" w:space="0" w:color="auto"/>
              <w:left w:val="nil"/>
              <w:bottom w:val="single" w:sz="8" w:space="0" w:color="auto"/>
              <w:right w:val="nil"/>
            </w:tcBorders>
            <w:shd w:val="clear" w:color="auto" w:fill="D9D9D9" w:themeFill="background1" w:themeFillShade="D9"/>
            <w:tcMar>
              <w:top w:w="0" w:type="dxa"/>
              <w:left w:w="108" w:type="dxa"/>
              <w:bottom w:w="0" w:type="dxa"/>
              <w:right w:w="108" w:type="dxa"/>
            </w:tcMar>
            <w:vAlign w:val="center"/>
          </w:tcPr>
          <w:p w14:paraId="7F036E4B" w14:textId="58BBA08C"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65.0</w:t>
            </w:r>
          </w:p>
        </w:tc>
        <w:tc>
          <w:tcPr>
            <w:tcW w:w="1276" w:type="dxa"/>
            <w:tcBorders>
              <w:top w:val="single" w:sz="8" w:space="0" w:color="auto"/>
              <w:bottom w:val="single" w:sz="8" w:space="0" w:color="auto"/>
            </w:tcBorders>
            <w:shd w:val="clear" w:color="auto" w:fill="D9D9D9" w:themeFill="background1" w:themeFillShade="D9"/>
            <w:tcMar>
              <w:top w:w="0" w:type="dxa"/>
              <w:left w:w="108" w:type="dxa"/>
              <w:bottom w:w="0" w:type="dxa"/>
              <w:right w:w="108" w:type="dxa"/>
            </w:tcMar>
            <w:vAlign w:val="center"/>
          </w:tcPr>
          <w:p w14:paraId="41AB3E03" w14:textId="0EFAEA71"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46.6</w:t>
            </w:r>
          </w:p>
        </w:tc>
        <w:tc>
          <w:tcPr>
            <w:tcW w:w="1842" w:type="dxa"/>
            <w:tcBorders>
              <w:top w:val="single" w:sz="8" w:space="0" w:color="auto"/>
              <w:bottom w:val="single" w:sz="8" w:space="0" w:color="auto"/>
            </w:tcBorders>
            <w:shd w:val="clear" w:color="auto" w:fill="D9D9D9" w:themeFill="background1" w:themeFillShade="D9"/>
            <w:vAlign w:val="center"/>
          </w:tcPr>
          <w:p w14:paraId="6176E236" w14:textId="71DA2A8A"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30.3</w:t>
            </w:r>
          </w:p>
        </w:tc>
        <w:tc>
          <w:tcPr>
            <w:tcW w:w="1276" w:type="dxa"/>
            <w:tcBorders>
              <w:top w:val="single" w:sz="8" w:space="0" w:color="auto"/>
              <w:bottom w:val="single" w:sz="8" w:space="0" w:color="auto"/>
            </w:tcBorders>
            <w:shd w:val="clear" w:color="auto" w:fill="D9D9D9" w:themeFill="background1" w:themeFillShade="D9"/>
            <w:vAlign w:val="center"/>
          </w:tcPr>
          <w:p w14:paraId="28D12BC1" w14:textId="42571AE7"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14.0</w:t>
            </w:r>
          </w:p>
        </w:tc>
        <w:tc>
          <w:tcPr>
            <w:tcW w:w="1985" w:type="dxa"/>
            <w:tcBorders>
              <w:top w:val="single" w:sz="8" w:space="0" w:color="auto"/>
              <w:bottom w:val="single" w:sz="8" w:space="0" w:color="auto"/>
            </w:tcBorders>
            <w:shd w:val="clear" w:color="auto" w:fill="D9D9D9" w:themeFill="background1" w:themeFillShade="D9"/>
            <w:vAlign w:val="center"/>
          </w:tcPr>
          <w:p w14:paraId="7B88416F" w14:textId="5073F6FC" w:rsidR="006E46F0" w:rsidRPr="006E46F0" w:rsidRDefault="006E46F0" w:rsidP="006E46F0">
            <w:pPr>
              <w:spacing w:after="160" w:line="276" w:lineRule="auto"/>
              <w:ind w:right="0"/>
              <w:jc w:val="center"/>
              <w:rPr>
                <w:rFonts w:ascii="Compatil Fact LT Pro" w:hAnsi="Compatil Fact LT Pro" w:cs="Arial"/>
                <w:b/>
                <w:bCs/>
                <w:color w:val="000000"/>
                <w:sz w:val="19"/>
                <w:szCs w:val="19"/>
                <w:lang w:eastAsia="en-AU"/>
              </w:rPr>
            </w:pPr>
            <w:r w:rsidRPr="006E46F0">
              <w:rPr>
                <w:rFonts w:ascii="Compatil Fact LT Pro" w:hAnsi="Compatil Fact LT Pro" w:cs="Arial"/>
                <w:b/>
                <w:bCs/>
                <w:color w:val="000000"/>
                <w:sz w:val="19"/>
                <w:szCs w:val="19"/>
                <w:lang w:eastAsia="en-AU"/>
              </w:rPr>
              <w:t>1.8</w:t>
            </w:r>
          </w:p>
        </w:tc>
      </w:tr>
      <w:tr w:rsidR="006E46F0" w:rsidRPr="006E46F0" w14:paraId="3D5F0250"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58855441"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Loans &amp; absolute return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DFE2126" w14:textId="7AC71DF5"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94A78FB" w14:textId="64FC1AC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842" w:type="dxa"/>
            <w:tcBorders>
              <w:top w:val="single" w:sz="8" w:space="0" w:color="auto"/>
              <w:bottom w:val="single" w:sz="8" w:space="0" w:color="auto"/>
            </w:tcBorders>
            <w:vAlign w:val="center"/>
          </w:tcPr>
          <w:p w14:paraId="69102EA4" w14:textId="3A9CA93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276" w:type="dxa"/>
            <w:tcBorders>
              <w:top w:val="single" w:sz="8" w:space="0" w:color="auto"/>
              <w:bottom w:val="single" w:sz="8" w:space="0" w:color="auto"/>
            </w:tcBorders>
            <w:vAlign w:val="center"/>
          </w:tcPr>
          <w:p w14:paraId="2CDA3447" w14:textId="5B1612A7"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c>
          <w:tcPr>
            <w:tcW w:w="1985" w:type="dxa"/>
            <w:tcBorders>
              <w:top w:val="single" w:sz="8" w:space="0" w:color="auto"/>
              <w:bottom w:val="single" w:sz="8" w:space="0" w:color="auto"/>
            </w:tcBorders>
            <w:vAlign w:val="center"/>
          </w:tcPr>
          <w:p w14:paraId="4A145472" w14:textId="588F430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67507A06"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00E8901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Australian fixed income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74EC2102" w14:textId="74C9F4B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26.1</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21BB5073" w14:textId="7B26F0E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18.0</w:t>
            </w:r>
          </w:p>
        </w:tc>
        <w:tc>
          <w:tcPr>
            <w:tcW w:w="1842" w:type="dxa"/>
            <w:tcBorders>
              <w:top w:val="single" w:sz="8" w:space="0" w:color="auto"/>
              <w:bottom w:val="single" w:sz="8" w:space="0" w:color="auto"/>
            </w:tcBorders>
            <w:vAlign w:val="center"/>
          </w:tcPr>
          <w:p w14:paraId="2A0A216C" w14:textId="1DD3C8E1"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11.1</w:t>
            </w:r>
          </w:p>
        </w:tc>
        <w:tc>
          <w:tcPr>
            <w:tcW w:w="1276" w:type="dxa"/>
            <w:tcBorders>
              <w:top w:val="single" w:sz="8" w:space="0" w:color="auto"/>
              <w:bottom w:val="single" w:sz="8" w:space="0" w:color="auto"/>
            </w:tcBorders>
            <w:vAlign w:val="center"/>
          </w:tcPr>
          <w:p w14:paraId="61B0F750" w14:textId="5F9B35E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6.0</w:t>
            </w:r>
          </w:p>
        </w:tc>
        <w:tc>
          <w:tcPr>
            <w:tcW w:w="1985" w:type="dxa"/>
            <w:tcBorders>
              <w:top w:val="single" w:sz="8" w:space="0" w:color="auto"/>
              <w:bottom w:val="single" w:sz="8" w:space="0" w:color="auto"/>
            </w:tcBorders>
            <w:vAlign w:val="center"/>
          </w:tcPr>
          <w:p w14:paraId="5D0C920D" w14:textId="65F6D6F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05D81999"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15662D85"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Global fixed income</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BED0C07" w14:textId="65B2424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20.8</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1FF331AD" w14:textId="7BC39F76"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13.6</w:t>
            </w:r>
          </w:p>
        </w:tc>
        <w:tc>
          <w:tcPr>
            <w:tcW w:w="1842" w:type="dxa"/>
            <w:tcBorders>
              <w:top w:val="single" w:sz="8" w:space="0" w:color="auto"/>
              <w:bottom w:val="single" w:sz="8" w:space="0" w:color="auto"/>
            </w:tcBorders>
            <w:vAlign w:val="center"/>
          </w:tcPr>
          <w:p w14:paraId="4FC5781D" w14:textId="39FC89E4"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9.9</w:t>
            </w:r>
          </w:p>
        </w:tc>
        <w:tc>
          <w:tcPr>
            <w:tcW w:w="1276" w:type="dxa"/>
            <w:tcBorders>
              <w:top w:val="single" w:sz="8" w:space="0" w:color="auto"/>
              <w:bottom w:val="single" w:sz="8" w:space="0" w:color="auto"/>
            </w:tcBorders>
            <w:vAlign w:val="center"/>
          </w:tcPr>
          <w:p w14:paraId="659DC833" w14:textId="216B42E5"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4.3</w:t>
            </w:r>
          </w:p>
        </w:tc>
        <w:tc>
          <w:tcPr>
            <w:tcW w:w="1985" w:type="dxa"/>
            <w:tcBorders>
              <w:top w:val="single" w:sz="8" w:space="0" w:color="auto"/>
              <w:bottom w:val="single" w:sz="8" w:space="0" w:color="auto"/>
            </w:tcBorders>
            <w:vAlign w:val="center"/>
          </w:tcPr>
          <w:p w14:paraId="71163A4B" w14:textId="2452EECC"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3A4D3D7"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E5AC172"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Defensive alternatives</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0ABC1B78" w14:textId="3C4D1D3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3.0</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6D767108" w14:textId="004526A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c>
          <w:tcPr>
            <w:tcW w:w="1842" w:type="dxa"/>
            <w:tcBorders>
              <w:top w:val="single" w:sz="8" w:space="0" w:color="auto"/>
              <w:bottom w:val="single" w:sz="8" w:space="0" w:color="auto"/>
            </w:tcBorders>
            <w:vAlign w:val="center"/>
          </w:tcPr>
          <w:p w14:paraId="73DB20B6" w14:textId="384CD6E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1.7</w:t>
            </w:r>
          </w:p>
        </w:tc>
        <w:tc>
          <w:tcPr>
            <w:tcW w:w="1276" w:type="dxa"/>
            <w:tcBorders>
              <w:top w:val="single" w:sz="8" w:space="0" w:color="auto"/>
              <w:bottom w:val="single" w:sz="8" w:space="0" w:color="auto"/>
            </w:tcBorders>
            <w:vAlign w:val="center"/>
          </w:tcPr>
          <w:p w14:paraId="3882DA08" w14:textId="46B6A040"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0.8</w:t>
            </w:r>
          </w:p>
        </w:tc>
        <w:tc>
          <w:tcPr>
            <w:tcW w:w="1985" w:type="dxa"/>
            <w:tcBorders>
              <w:top w:val="single" w:sz="8" w:space="0" w:color="auto"/>
              <w:bottom w:val="single" w:sz="8" w:space="0" w:color="auto"/>
            </w:tcBorders>
            <w:vAlign w:val="center"/>
          </w:tcPr>
          <w:p w14:paraId="0EF33EC0" w14:textId="7F55FE79"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30ABA461"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555FAD54"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Short-term credit</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528961A1" w14:textId="0E64740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9.7</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7B734FD3" w14:textId="0F6266EC"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8.9</w:t>
            </w:r>
          </w:p>
        </w:tc>
        <w:tc>
          <w:tcPr>
            <w:tcW w:w="1842" w:type="dxa"/>
            <w:tcBorders>
              <w:top w:val="single" w:sz="8" w:space="0" w:color="auto"/>
              <w:bottom w:val="single" w:sz="8" w:space="0" w:color="auto"/>
            </w:tcBorders>
            <w:vAlign w:val="center"/>
          </w:tcPr>
          <w:p w14:paraId="11CA58E7" w14:textId="724AC4A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3.4</w:t>
            </w:r>
          </w:p>
        </w:tc>
        <w:tc>
          <w:tcPr>
            <w:tcW w:w="1276" w:type="dxa"/>
            <w:tcBorders>
              <w:top w:val="single" w:sz="8" w:space="0" w:color="auto"/>
              <w:bottom w:val="single" w:sz="8" w:space="0" w:color="auto"/>
            </w:tcBorders>
            <w:vAlign w:val="center"/>
          </w:tcPr>
          <w:p w14:paraId="1AC14427" w14:textId="4C07839E"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0.1</w:t>
            </w:r>
          </w:p>
        </w:tc>
        <w:tc>
          <w:tcPr>
            <w:tcW w:w="1985" w:type="dxa"/>
            <w:tcBorders>
              <w:top w:val="single" w:sz="8" w:space="0" w:color="auto"/>
              <w:bottom w:val="single" w:sz="8" w:space="0" w:color="auto"/>
            </w:tcBorders>
            <w:vAlign w:val="center"/>
          </w:tcPr>
          <w:p w14:paraId="0360426C" w14:textId="5F40ED7A"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0.0</w:t>
            </w:r>
          </w:p>
        </w:tc>
      </w:tr>
      <w:tr w:rsidR="006E46F0" w:rsidRPr="006E46F0" w14:paraId="02EAE1BE" w14:textId="77777777" w:rsidTr="006E46F0">
        <w:trPr>
          <w:trHeight w:val="574"/>
        </w:trPr>
        <w:tc>
          <w:tcPr>
            <w:tcW w:w="1985" w:type="dxa"/>
            <w:tcBorders>
              <w:top w:val="single" w:sz="8" w:space="0" w:color="auto"/>
              <w:left w:val="nil"/>
              <w:bottom w:val="single" w:sz="8" w:space="0" w:color="auto"/>
              <w:right w:val="nil"/>
            </w:tcBorders>
            <w:tcMar>
              <w:top w:w="0" w:type="dxa"/>
              <w:left w:w="108" w:type="dxa"/>
              <w:bottom w:w="0" w:type="dxa"/>
              <w:right w:w="108" w:type="dxa"/>
            </w:tcMar>
            <w:vAlign w:val="center"/>
          </w:tcPr>
          <w:p w14:paraId="43CDF953" w14:textId="77777777" w:rsidR="006E46F0" w:rsidRPr="00143C2F" w:rsidRDefault="006E46F0" w:rsidP="006E46F0">
            <w:pPr>
              <w:spacing w:after="160" w:line="276" w:lineRule="auto"/>
              <w:ind w:right="0"/>
              <w:rPr>
                <w:rFonts w:ascii="Compatil Fact LT Pro" w:eastAsia="Calibri" w:hAnsi="Compatil Fact LT Pro" w:cstheme="majorHAnsi"/>
                <w:color w:val="auto"/>
                <w:sz w:val="19"/>
                <w:szCs w:val="19"/>
                <w:lang w:val="en-AU"/>
              </w:rPr>
            </w:pPr>
            <w:r w:rsidRPr="00143C2F">
              <w:rPr>
                <w:rFonts w:ascii="Compatil Fact LT Pro" w:eastAsia="Calibri" w:hAnsi="Compatil Fact LT Pro" w:cstheme="majorHAnsi"/>
                <w:color w:val="auto"/>
                <w:sz w:val="19"/>
                <w:szCs w:val="19"/>
                <w:lang w:val="en-AU"/>
              </w:rPr>
              <w:t xml:space="preserve">Cash </w:t>
            </w:r>
          </w:p>
        </w:tc>
        <w:tc>
          <w:tcPr>
            <w:tcW w:w="1701" w:type="dxa"/>
            <w:tcBorders>
              <w:top w:val="single" w:sz="8" w:space="0" w:color="auto"/>
              <w:left w:val="nil"/>
              <w:bottom w:val="single" w:sz="8" w:space="0" w:color="auto"/>
              <w:right w:val="nil"/>
            </w:tcBorders>
            <w:tcMar>
              <w:top w:w="0" w:type="dxa"/>
              <w:left w:w="108" w:type="dxa"/>
              <w:bottom w:w="0" w:type="dxa"/>
              <w:right w:w="108" w:type="dxa"/>
            </w:tcMar>
            <w:vAlign w:val="center"/>
          </w:tcPr>
          <w:p w14:paraId="4FE2C80F" w14:textId="20C0414D"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5.4</w:t>
            </w:r>
          </w:p>
        </w:tc>
        <w:tc>
          <w:tcPr>
            <w:tcW w:w="1276" w:type="dxa"/>
            <w:tcBorders>
              <w:top w:val="single" w:sz="8" w:space="0" w:color="auto"/>
              <w:bottom w:val="single" w:sz="8" w:space="0" w:color="auto"/>
            </w:tcBorders>
            <w:tcMar>
              <w:top w:w="0" w:type="dxa"/>
              <w:left w:w="108" w:type="dxa"/>
              <w:bottom w:w="0" w:type="dxa"/>
              <w:right w:w="108" w:type="dxa"/>
            </w:tcMar>
            <w:vAlign w:val="center"/>
          </w:tcPr>
          <w:p w14:paraId="4A21B84C" w14:textId="3476C218"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4.2</w:t>
            </w:r>
          </w:p>
        </w:tc>
        <w:tc>
          <w:tcPr>
            <w:tcW w:w="1842" w:type="dxa"/>
            <w:tcBorders>
              <w:top w:val="single" w:sz="8" w:space="0" w:color="auto"/>
              <w:bottom w:val="single" w:sz="8" w:space="0" w:color="auto"/>
            </w:tcBorders>
            <w:vAlign w:val="center"/>
          </w:tcPr>
          <w:p w14:paraId="0AA81514" w14:textId="7B3875DF"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4.2</w:t>
            </w:r>
          </w:p>
        </w:tc>
        <w:tc>
          <w:tcPr>
            <w:tcW w:w="1276" w:type="dxa"/>
            <w:tcBorders>
              <w:top w:val="single" w:sz="8" w:space="0" w:color="auto"/>
              <w:bottom w:val="single" w:sz="8" w:space="0" w:color="auto"/>
            </w:tcBorders>
            <w:vAlign w:val="center"/>
          </w:tcPr>
          <w:p w14:paraId="6D3D4F18" w14:textId="165AF962"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2.8</w:t>
            </w:r>
          </w:p>
        </w:tc>
        <w:tc>
          <w:tcPr>
            <w:tcW w:w="1985" w:type="dxa"/>
            <w:tcBorders>
              <w:top w:val="single" w:sz="8" w:space="0" w:color="auto"/>
              <w:bottom w:val="single" w:sz="8" w:space="0" w:color="auto"/>
            </w:tcBorders>
            <w:vAlign w:val="center"/>
          </w:tcPr>
          <w:p w14:paraId="641039B6" w14:textId="0697BF2B" w:rsidR="006E46F0" w:rsidRPr="006E46F0" w:rsidRDefault="006E46F0" w:rsidP="006E46F0">
            <w:pPr>
              <w:spacing w:after="160" w:line="276" w:lineRule="auto"/>
              <w:ind w:right="0"/>
              <w:jc w:val="center"/>
              <w:rPr>
                <w:rFonts w:ascii="Compatil Fact LT Pro" w:eastAsia="Calibri" w:hAnsi="Compatil Fact LT Pro" w:cstheme="majorHAnsi"/>
                <w:color w:val="auto"/>
                <w:sz w:val="19"/>
                <w:szCs w:val="19"/>
                <w:lang w:val="en-AU"/>
              </w:rPr>
            </w:pPr>
            <w:r w:rsidRPr="006E46F0">
              <w:rPr>
                <w:rFonts w:ascii="Compatil Fact LT Pro" w:eastAsia="Calibri" w:hAnsi="Compatil Fact LT Pro" w:cstheme="majorHAnsi"/>
                <w:color w:val="auto"/>
                <w:sz w:val="19"/>
                <w:szCs w:val="19"/>
                <w:lang w:val="en-AU"/>
              </w:rPr>
              <w:t>1.8</w:t>
            </w:r>
          </w:p>
        </w:tc>
      </w:tr>
    </w:tbl>
    <w:p w14:paraId="045A37BB" w14:textId="77777777" w:rsidR="008674B7" w:rsidRPr="0072036F" w:rsidRDefault="008674B7" w:rsidP="00F012E3">
      <w:pPr>
        <w:spacing w:after="160" w:line="276" w:lineRule="auto"/>
        <w:ind w:right="0"/>
        <w:rPr>
          <w:rFonts w:ascii="Compatil Fact LT Pro" w:eastAsia="Calibri" w:hAnsi="Compatil Fact LT Pro" w:cstheme="majorHAnsi"/>
          <w:color w:val="auto"/>
          <w:sz w:val="21"/>
          <w:szCs w:val="21"/>
          <w:lang w:val="en-AU"/>
        </w:rPr>
      </w:pPr>
    </w:p>
    <w:p w14:paraId="09B617ED" w14:textId="77777777" w:rsidR="00627E56" w:rsidRPr="00A052F4" w:rsidRDefault="00627E56"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t xml:space="preserve">Effective </w:t>
      </w:r>
      <w:proofErr w:type="gramStart"/>
      <w:r w:rsidRPr="00A052F4">
        <w:rPr>
          <w:rFonts w:ascii="Compatil Fact LT Pro" w:hAnsi="Compatil Fact LT Pro"/>
          <w:color w:val="005596" w:themeColor="accent4"/>
          <w:sz w:val="24"/>
          <w:szCs w:val="28"/>
        </w:rPr>
        <w:t>date</w:t>
      </w:r>
      <w:proofErr w:type="gramEnd"/>
    </w:p>
    <w:p w14:paraId="29C08EFB" w14:textId="09B51943" w:rsidR="00627E56" w:rsidRDefault="00627E56" w:rsidP="00627E56">
      <w:pPr>
        <w:spacing w:after="160" w:line="276" w:lineRule="auto"/>
        <w:ind w:right="0"/>
        <w:rPr>
          <w:rFonts w:ascii="Compatil Fact LT Pro" w:eastAsia="Calibri" w:hAnsi="Compatil Fact LT Pro" w:cstheme="majorHAnsi"/>
          <w:color w:val="auto"/>
          <w:sz w:val="21"/>
          <w:szCs w:val="21"/>
          <w:lang w:val="en-AU"/>
        </w:rPr>
      </w:pPr>
      <w:r w:rsidRPr="00A11282">
        <w:rPr>
          <w:rFonts w:ascii="Compatil Fact LT Pro" w:eastAsia="Calibri" w:hAnsi="Compatil Fact LT Pro" w:cstheme="majorHAnsi"/>
          <w:color w:val="auto"/>
          <w:sz w:val="21"/>
          <w:szCs w:val="21"/>
          <w:lang w:val="en-AU"/>
        </w:rPr>
        <w:t xml:space="preserve">These changes were completed </w:t>
      </w:r>
      <w:r w:rsidR="002B2C75">
        <w:rPr>
          <w:rFonts w:ascii="Compatil Fact LT Pro" w:eastAsia="Calibri" w:hAnsi="Compatil Fact LT Pro" w:cstheme="majorHAnsi"/>
          <w:color w:val="auto"/>
          <w:sz w:val="21"/>
          <w:szCs w:val="21"/>
          <w:lang w:val="en-AU"/>
        </w:rPr>
        <w:t>o</w:t>
      </w:r>
      <w:r w:rsidR="003B4523">
        <w:rPr>
          <w:rFonts w:ascii="Compatil Fact LT Pro" w:eastAsia="Calibri" w:hAnsi="Compatil Fact LT Pro" w:cstheme="majorHAnsi"/>
          <w:color w:val="auto"/>
          <w:sz w:val="21"/>
          <w:szCs w:val="21"/>
          <w:lang w:val="en-AU"/>
        </w:rPr>
        <w:t xml:space="preserve">n </w:t>
      </w:r>
      <w:r w:rsidR="003B4523">
        <w:rPr>
          <w:rFonts w:ascii="Compatil Fact LT Pro" w:eastAsia="Calibri" w:hAnsi="Compatil Fact LT Pro" w:cstheme="majorHAnsi"/>
          <w:b/>
          <w:bCs/>
          <w:color w:val="auto"/>
          <w:sz w:val="21"/>
          <w:szCs w:val="21"/>
          <w:lang w:val="en-AU"/>
        </w:rPr>
        <w:t xml:space="preserve">31 </w:t>
      </w:r>
      <w:r w:rsidR="00A11282" w:rsidRPr="006C705B">
        <w:rPr>
          <w:rFonts w:ascii="Compatil Fact LT Pro" w:eastAsia="Calibri" w:hAnsi="Compatil Fact LT Pro" w:cstheme="majorHAnsi"/>
          <w:b/>
          <w:bCs/>
          <w:color w:val="auto"/>
          <w:sz w:val="21"/>
          <w:szCs w:val="21"/>
          <w:lang w:val="en-AU"/>
        </w:rPr>
        <w:t>J</w:t>
      </w:r>
      <w:r w:rsidR="002B2C75">
        <w:rPr>
          <w:rFonts w:ascii="Compatil Fact LT Pro" w:eastAsia="Calibri" w:hAnsi="Compatil Fact LT Pro" w:cstheme="majorHAnsi"/>
          <w:b/>
          <w:bCs/>
          <w:color w:val="auto"/>
          <w:sz w:val="21"/>
          <w:szCs w:val="21"/>
          <w:lang w:val="en-AU"/>
        </w:rPr>
        <w:t>uly 2025</w:t>
      </w:r>
      <w:r w:rsidRPr="006C705B">
        <w:rPr>
          <w:rFonts w:ascii="Compatil Fact LT Pro" w:eastAsia="Calibri" w:hAnsi="Compatil Fact LT Pro" w:cstheme="majorHAnsi"/>
          <w:color w:val="auto"/>
          <w:sz w:val="21"/>
          <w:szCs w:val="21"/>
          <w:lang w:val="en-AU"/>
        </w:rPr>
        <w:t>.</w:t>
      </w:r>
    </w:p>
    <w:p w14:paraId="19A7A4AE" w14:textId="77777777" w:rsidR="000E0F2D" w:rsidRDefault="000E0F2D" w:rsidP="00627E56">
      <w:pPr>
        <w:spacing w:after="160" w:line="276" w:lineRule="auto"/>
        <w:ind w:right="0"/>
        <w:rPr>
          <w:rFonts w:ascii="Compatil Fact LT Pro" w:eastAsia="Calibri" w:hAnsi="Compatil Fact LT Pro" w:cstheme="majorHAnsi"/>
          <w:color w:val="auto"/>
          <w:sz w:val="21"/>
          <w:szCs w:val="21"/>
          <w:lang w:val="en-AU"/>
        </w:rPr>
      </w:pPr>
    </w:p>
    <w:p w14:paraId="57B74E8A" w14:textId="77777777" w:rsidR="00627E56" w:rsidRPr="00A052F4" w:rsidRDefault="00627E56" w:rsidP="00A052F4">
      <w:pPr>
        <w:pStyle w:val="Heading1"/>
        <w:spacing w:before="0" w:after="120" w:line="276" w:lineRule="auto"/>
        <w:rPr>
          <w:rFonts w:ascii="Compatil Fact LT Pro" w:hAnsi="Compatil Fact LT Pro"/>
          <w:color w:val="005596" w:themeColor="accent4"/>
          <w:sz w:val="24"/>
          <w:szCs w:val="28"/>
        </w:rPr>
      </w:pPr>
      <w:r w:rsidRPr="00A052F4">
        <w:rPr>
          <w:rFonts w:ascii="Compatil Fact LT Pro" w:hAnsi="Compatil Fact LT Pro"/>
          <w:color w:val="005596" w:themeColor="accent4"/>
          <w:sz w:val="24"/>
          <w:szCs w:val="28"/>
        </w:rPr>
        <w:lastRenderedPageBreak/>
        <w:t>Looking ahead</w:t>
      </w:r>
    </w:p>
    <w:p w14:paraId="5C603301" w14:textId="77777777" w:rsidR="00A40BBD" w:rsidRDefault="00A40BBD" w:rsidP="00A40BBD">
      <w:pPr>
        <w:spacing w:after="160" w:line="276" w:lineRule="auto"/>
        <w:ind w:right="0"/>
        <w:rPr>
          <w:rFonts w:ascii="Compatil Fact LT Pro" w:eastAsia="Calibri" w:hAnsi="Compatil Fact LT Pro" w:cstheme="majorHAnsi"/>
          <w:color w:val="auto"/>
          <w:sz w:val="21"/>
          <w:szCs w:val="21"/>
          <w:lang w:val="en-AU"/>
        </w:rPr>
      </w:pPr>
      <w:r w:rsidRPr="009550AB">
        <w:rPr>
          <w:rFonts w:ascii="Compatil Fact LT Pro" w:eastAsia="Calibri" w:hAnsi="Compatil Fact LT Pro" w:cstheme="majorHAnsi"/>
          <w:color w:val="auto"/>
          <w:sz w:val="21"/>
          <w:szCs w:val="21"/>
          <w:lang w:val="en-AU"/>
        </w:rPr>
        <w:t>Heading into 2025, equity markets had posted two years of very solid returns. Through 2024, we gradually reduced the Portfolios’ exposure to growth assets.</w:t>
      </w:r>
    </w:p>
    <w:p w14:paraId="7191A6BF" w14:textId="77777777" w:rsidR="00A40BBD" w:rsidRDefault="00A40BBD" w:rsidP="00A40BBD">
      <w:pPr>
        <w:spacing w:after="160" w:line="276" w:lineRule="auto"/>
        <w:ind w:right="0"/>
        <w:rPr>
          <w:rFonts w:ascii="Compatil Fact LT Pro" w:eastAsia="Calibri" w:hAnsi="Compatil Fact LT Pro" w:cstheme="majorHAnsi"/>
          <w:color w:val="auto"/>
          <w:sz w:val="21"/>
          <w:szCs w:val="21"/>
          <w:lang w:val="en-AU"/>
        </w:rPr>
      </w:pPr>
      <w:r>
        <w:rPr>
          <w:rFonts w:ascii="Compatil Fact LT Pro" w:eastAsia="Calibri" w:hAnsi="Compatil Fact LT Pro" w:cstheme="majorHAnsi"/>
          <w:color w:val="auto"/>
          <w:sz w:val="21"/>
          <w:szCs w:val="21"/>
          <w:lang w:val="en-AU"/>
        </w:rPr>
        <w:t xml:space="preserve">We saw a sharp rise in market volatility in April, driven by US President Donald Trump’s ‘Liberation Day’ announcement and </w:t>
      </w:r>
      <w:r w:rsidRPr="00D9152D">
        <w:rPr>
          <w:rFonts w:ascii="Compatil Fact LT Pro" w:eastAsia="Calibri" w:hAnsi="Compatil Fact LT Pro" w:cstheme="majorHAnsi"/>
          <w:color w:val="auto"/>
          <w:sz w:val="21"/>
          <w:szCs w:val="21"/>
          <w:lang w:val="en-AU"/>
        </w:rPr>
        <w:t xml:space="preserve">concerns </w:t>
      </w:r>
      <w:r>
        <w:rPr>
          <w:rFonts w:ascii="Compatil Fact LT Pro" w:eastAsia="Calibri" w:hAnsi="Compatil Fact LT Pro" w:cstheme="majorHAnsi"/>
          <w:color w:val="auto"/>
          <w:sz w:val="21"/>
          <w:szCs w:val="21"/>
          <w:lang w:val="en-AU"/>
        </w:rPr>
        <w:t>about the outlook for the</w:t>
      </w:r>
      <w:r w:rsidRPr="00D9152D">
        <w:rPr>
          <w:rFonts w:ascii="Compatil Fact LT Pro" w:eastAsia="Calibri" w:hAnsi="Compatil Fact LT Pro" w:cstheme="majorHAnsi"/>
          <w:color w:val="auto"/>
          <w:sz w:val="21"/>
          <w:szCs w:val="21"/>
          <w:lang w:val="en-AU"/>
        </w:rPr>
        <w:t xml:space="preserve"> US economy.</w:t>
      </w:r>
      <w:r>
        <w:rPr>
          <w:rFonts w:ascii="Compatil Fact LT Pro" w:eastAsia="Calibri" w:hAnsi="Compatil Fact LT Pro" w:cstheme="majorHAnsi"/>
          <w:color w:val="auto"/>
          <w:sz w:val="21"/>
          <w:szCs w:val="21"/>
          <w:lang w:val="en-AU"/>
        </w:rPr>
        <w:t xml:space="preserve"> In response, we</w:t>
      </w:r>
      <w:r w:rsidRPr="00D9152D">
        <w:rPr>
          <w:rFonts w:ascii="Compatil Fact LT Pro" w:eastAsia="Calibri" w:hAnsi="Compatil Fact LT Pro" w:cstheme="majorHAnsi"/>
          <w:color w:val="auto"/>
          <w:sz w:val="21"/>
          <w:szCs w:val="21"/>
          <w:lang w:val="en-AU"/>
        </w:rPr>
        <w:t xml:space="preserve"> lifted our probability of a US recession</w:t>
      </w:r>
      <w:r>
        <w:rPr>
          <w:rFonts w:ascii="Compatil Fact LT Pro" w:eastAsia="Calibri" w:hAnsi="Compatil Fact LT Pro" w:cstheme="majorHAnsi"/>
          <w:color w:val="auto"/>
          <w:sz w:val="21"/>
          <w:szCs w:val="21"/>
          <w:lang w:val="en-AU"/>
        </w:rPr>
        <w:t xml:space="preserve"> </w:t>
      </w:r>
      <w:r w:rsidRPr="00D9152D">
        <w:rPr>
          <w:rFonts w:ascii="Compatil Fact LT Pro" w:eastAsia="Calibri" w:hAnsi="Compatil Fact LT Pro" w:cstheme="majorHAnsi"/>
          <w:color w:val="auto"/>
          <w:sz w:val="21"/>
          <w:szCs w:val="21"/>
          <w:lang w:val="en-AU"/>
        </w:rPr>
        <w:t>in the next 12 months to around 50%</w:t>
      </w:r>
      <w:r>
        <w:rPr>
          <w:rFonts w:ascii="Compatil Fact LT Pro" w:eastAsia="Calibri" w:hAnsi="Compatil Fact LT Pro" w:cstheme="majorHAnsi"/>
          <w:color w:val="auto"/>
          <w:sz w:val="21"/>
          <w:szCs w:val="21"/>
          <w:lang w:val="en-AU"/>
        </w:rPr>
        <w:t xml:space="preserve">. </w:t>
      </w:r>
      <w:r w:rsidRPr="00D9152D">
        <w:rPr>
          <w:rFonts w:ascii="Compatil Fact LT Pro" w:eastAsia="Calibri" w:hAnsi="Compatil Fact LT Pro" w:cstheme="majorHAnsi"/>
          <w:color w:val="auto"/>
          <w:sz w:val="21"/>
          <w:szCs w:val="21"/>
          <w:lang w:val="en-AU"/>
        </w:rPr>
        <w:t xml:space="preserve">This </w:t>
      </w:r>
      <w:r>
        <w:rPr>
          <w:rFonts w:ascii="Compatil Fact LT Pro" w:eastAsia="Calibri" w:hAnsi="Compatil Fact LT Pro" w:cstheme="majorHAnsi"/>
          <w:color w:val="auto"/>
          <w:sz w:val="21"/>
          <w:szCs w:val="21"/>
          <w:lang w:val="en-AU"/>
        </w:rPr>
        <w:t xml:space="preserve">increase </w:t>
      </w:r>
      <w:r w:rsidRPr="00D9152D">
        <w:rPr>
          <w:rFonts w:ascii="Compatil Fact LT Pro" w:eastAsia="Calibri" w:hAnsi="Compatil Fact LT Pro" w:cstheme="majorHAnsi"/>
          <w:color w:val="auto"/>
          <w:sz w:val="21"/>
          <w:szCs w:val="21"/>
          <w:lang w:val="en-AU"/>
        </w:rPr>
        <w:t>was driven by the uncertainty surrounding Trump’s policies, the likely one-time increase his policies w</w:t>
      </w:r>
      <w:r>
        <w:rPr>
          <w:rFonts w:ascii="Compatil Fact LT Pro" w:eastAsia="Calibri" w:hAnsi="Compatil Fact LT Pro" w:cstheme="majorHAnsi"/>
          <w:color w:val="auto"/>
          <w:sz w:val="21"/>
          <w:szCs w:val="21"/>
          <w:lang w:val="en-AU"/>
        </w:rPr>
        <w:t>ould</w:t>
      </w:r>
      <w:r w:rsidRPr="00D9152D">
        <w:rPr>
          <w:rFonts w:ascii="Compatil Fact LT Pro" w:eastAsia="Calibri" w:hAnsi="Compatil Fact LT Pro" w:cstheme="majorHAnsi"/>
          <w:color w:val="auto"/>
          <w:sz w:val="21"/>
          <w:szCs w:val="21"/>
          <w:lang w:val="en-AU"/>
        </w:rPr>
        <w:t xml:space="preserve"> have on inflation and the subsequent impact higher inflation w</w:t>
      </w:r>
      <w:r>
        <w:rPr>
          <w:rFonts w:ascii="Compatil Fact LT Pro" w:eastAsia="Calibri" w:hAnsi="Compatil Fact LT Pro" w:cstheme="majorHAnsi"/>
          <w:color w:val="auto"/>
          <w:sz w:val="21"/>
          <w:szCs w:val="21"/>
          <w:lang w:val="en-AU"/>
        </w:rPr>
        <w:t>ould</w:t>
      </w:r>
      <w:r w:rsidRPr="00D9152D">
        <w:rPr>
          <w:rFonts w:ascii="Compatil Fact LT Pro" w:eastAsia="Calibri" w:hAnsi="Compatil Fact LT Pro" w:cstheme="majorHAnsi"/>
          <w:color w:val="auto"/>
          <w:sz w:val="21"/>
          <w:szCs w:val="21"/>
          <w:lang w:val="en-AU"/>
        </w:rPr>
        <w:t xml:space="preserve"> have on </w:t>
      </w:r>
      <w:r>
        <w:rPr>
          <w:rFonts w:ascii="Compatil Fact LT Pro" w:eastAsia="Calibri" w:hAnsi="Compatil Fact LT Pro" w:cstheme="majorHAnsi"/>
          <w:color w:val="auto"/>
          <w:sz w:val="21"/>
          <w:szCs w:val="21"/>
          <w:lang w:val="en-AU"/>
        </w:rPr>
        <w:t xml:space="preserve">US </w:t>
      </w:r>
      <w:r w:rsidRPr="00D9152D">
        <w:rPr>
          <w:rFonts w:ascii="Compatil Fact LT Pro" w:eastAsia="Calibri" w:hAnsi="Compatil Fact LT Pro" w:cstheme="majorHAnsi"/>
          <w:color w:val="auto"/>
          <w:sz w:val="21"/>
          <w:szCs w:val="21"/>
          <w:lang w:val="en-AU"/>
        </w:rPr>
        <w:t>growth in the short to medium ter</w:t>
      </w:r>
      <w:r>
        <w:rPr>
          <w:rFonts w:ascii="Compatil Fact LT Pro" w:eastAsia="Calibri" w:hAnsi="Compatil Fact LT Pro" w:cstheme="majorHAnsi"/>
          <w:color w:val="auto"/>
          <w:sz w:val="21"/>
          <w:szCs w:val="21"/>
          <w:lang w:val="en-AU"/>
        </w:rPr>
        <w:t>m.</w:t>
      </w:r>
    </w:p>
    <w:p w14:paraId="7BB6D11D" w14:textId="175DCB7D" w:rsidR="00A40BBD" w:rsidRPr="00232B84" w:rsidRDefault="00A40BBD" w:rsidP="00A40BBD">
      <w:pPr>
        <w:spacing w:after="160" w:line="276" w:lineRule="auto"/>
        <w:ind w:right="0"/>
        <w:rPr>
          <w:rFonts w:ascii="Compatil Fact LT Pro" w:eastAsia="Calibri" w:hAnsi="Compatil Fact LT Pro" w:cstheme="majorHAnsi"/>
          <w:color w:val="auto"/>
          <w:sz w:val="21"/>
          <w:szCs w:val="21"/>
          <w:lang w:val="en-AU"/>
        </w:rPr>
      </w:pPr>
      <w:r w:rsidRPr="00232B84">
        <w:rPr>
          <w:rFonts w:ascii="Compatil Fact LT Pro" w:eastAsia="Calibri" w:hAnsi="Compatil Fact LT Pro" w:cstheme="majorHAnsi"/>
          <w:color w:val="auto"/>
          <w:sz w:val="21"/>
          <w:szCs w:val="21"/>
          <w:lang w:val="en-AU"/>
        </w:rPr>
        <w:t>Since then, however, we’ve seen positive developments in US trade negotiations, with the likes of China, Japan and the European Union all locking in lower tariff rates than those announced on 2 April. US negotiations with its northern and southern neighbou</w:t>
      </w:r>
      <w:r>
        <w:rPr>
          <w:rFonts w:ascii="Compatil Fact LT Pro" w:eastAsia="Calibri" w:hAnsi="Compatil Fact LT Pro" w:cstheme="majorHAnsi"/>
          <w:color w:val="auto"/>
          <w:sz w:val="21"/>
          <w:szCs w:val="21"/>
          <w:lang w:val="en-AU"/>
        </w:rPr>
        <w:t xml:space="preserve">rs </w:t>
      </w:r>
      <w:r w:rsidRPr="00232B84">
        <w:rPr>
          <w:rFonts w:ascii="Compatil Fact LT Pro" w:eastAsia="Calibri" w:hAnsi="Compatil Fact LT Pro" w:cstheme="majorHAnsi"/>
          <w:color w:val="auto"/>
          <w:sz w:val="21"/>
          <w:szCs w:val="21"/>
          <w:lang w:val="en-AU"/>
        </w:rPr>
        <w:t>are also expected to continue. At the same time, consumer spending in the US has, for the most part, proven resilient even as confidence weakened through much of the first half of this year. Taking account of these factors, we’ve lowered our probability of a US recession in the next 12 months to 25%.</w:t>
      </w:r>
    </w:p>
    <w:p w14:paraId="2F813CBF" w14:textId="77777777" w:rsidR="00A40BBD" w:rsidRDefault="00A40BBD" w:rsidP="00A40BBD">
      <w:pPr>
        <w:spacing w:after="160" w:line="276" w:lineRule="auto"/>
        <w:ind w:right="0"/>
        <w:rPr>
          <w:rFonts w:ascii="Compatil Fact LT Pro" w:eastAsia="Calibri" w:hAnsi="Compatil Fact LT Pro" w:cstheme="majorHAnsi"/>
          <w:color w:val="auto"/>
          <w:sz w:val="21"/>
          <w:szCs w:val="21"/>
          <w:lang w:val="en-AU"/>
        </w:rPr>
      </w:pPr>
      <w:r w:rsidRPr="009550AB">
        <w:rPr>
          <w:rFonts w:ascii="Compatil Fact LT Pro" w:eastAsia="Calibri" w:hAnsi="Compatil Fact LT Pro" w:cstheme="majorHAnsi"/>
          <w:color w:val="auto"/>
          <w:sz w:val="21"/>
          <w:szCs w:val="21"/>
          <w:lang w:val="en-AU"/>
        </w:rPr>
        <w:t>During moments of volatility, our investment process of cycle, value and sentiment ensures that we’re able to respond to events appropriately. The Portfolios have been designed to respond in real time to manage risks and take advantage of market dislocations.</w:t>
      </w:r>
    </w:p>
    <w:p w14:paraId="7246159B" w14:textId="77777777" w:rsidR="00A40BBD" w:rsidRPr="00162B7C" w:rsidRDefault="00A40BBD" w:rsidP="00A40BBD">
      <w:pPr>
        <w:spacing w:after="160" w:line="276" w:lineRule="auto"/>
        <w:ind w:right="0"/>
        <w:rPr>
          <w:rFonts w:ascii="Compatil Fact LT Pro" w:eastAsia="Calibri" w:hAnsi="Compatil Fact LT Pro" w:cstheme="majorHAnsi"/>
          <w:color w:val="auto"/>
          <w:sz w:val="16"/>
          <w:szCs w:val="16"/>
          <w:lang w:val="en-AU"/>
        </w:rPr>
      </w:pPr>
      <w:r w:rsidRPr="00162B7C">
        <w:rPr>
          <w:rFonts w:ascii="Compatil Fact LT Pro" w:eastAsia="Calibri" w:hAnsi="Compatil Fact LT Pro" w:cstheme="majorHAnsi"/>
          <w:color w:val="auto"/>
          <w:sz w:val="16"/>
          <w:szCs w:val="16"/>
          <w:lang w:val="en-AU"/>
        </w:rPr>
        <w:t>Note: Past performance is not a reliable indicator of future performance.</w:t>
      </w:r>
    </w:p>
    <w:p w14:paraId="389CCBE0" w14:textId="77777777" w:rsidR="00A40BBD" w:rsidRDefault="00A40BBD" w:rsidP="00A40BBD">
      <w:pPr>
        <w:spacing w:after="160" w:line="276" w:lineRule="auto"/>
        <w:ind w:right="0"/>
        <w:rPr>
          <w:rFonts w:ascii="Compatil Fact LT Pro" w:eastAsia="Calibri" w:hAnsi="Compatil Fact LT Pro" w:cstheme="majorHAnsi"/>
          <w:color w:val="auto"/>
          <w:sz w:val="21"/>
          <w:szCs w:val="21"/>
          <w:lang w:val="en-AU"/>
        </w:rPr>
      </w:pPr>
    </w:p>
    <w:p w14:paraId="73F56926" w14:textId="77777777" w:rsidR="00A052F4" w:rsidRPr="00305D38" w:rsidRDefault="00A052F4" w:rsidP="00305D38">
      <w:pPr>
        <w:spacing w:after="160" w:line="276" w:lineRule="auto"/>
        <w:ind w:right="0"/>
        <w:rPr>
          <w:rFonts w:ascii="Compatil Fact LT Pro" w:eastAsia="Calibri" w:hAnsi="Compatil Fact LT Pro" w:cstheme="majorHAnsi"/>
          <w:color w:val="auto"/>
          <w:sz w:val="21"/>
          <w:szCs w:val="21"/>
          <w:lang w:val="en-AU"/>
        </w:rPr>
      </w:pPr>
    </w:p>
    <w:p w14:paraId="5C82E494" w14:textId="77777777" w:rsidR="00627E56" w:rsidRDefault="00627E56" w:rsidP="00627E56">
      <w:pPr>
        <w:pStyle w:val="Bodycopy"/>
      </w:pPr>
    </w:p>
    <w:p w14:paraId="7AB45D04" w14:textId="77777777" w:rsidR="00757AC3" w:rsidRDefault="00757AC3" w:rsidP="00F012E3">
      <w:pPr>
        <w:spacing w:after="160" w:line="276" w:lineRule="auto"/>
        <w:ind w:right="0"/>
        <w:rPr>
          <w:rFonts w:ascii="Compatil Fact LT Pro" w:eastAsia="Calibri" w:hAnsi="Compatil Fact LT Pro" w:cstheme="majorHAnsi"/>
          <w:color w:val="auto"/>
          <w:sz w:val="21"/>
          <w:szCs w:val="21"/>
          <w:lang w:val="en-AU"/>
        </w:rPr>
      </w:pPr>
    </w:p>
    <w:p w14:paraId="5460B7D1" w14:textId="15CA04BB" w:rsidR="00757AC3" w:rsidRDefault="00757AC3">
      <w:pPr>
        <w:spacing w:after="0"/>
        <w:ind w:right="0"/>
        <w:rPr>
          <w:rFonts w:ascii="Compatil Fact LT Pro" w:eastAsia="Calibri" w:hAnsi="Compatil Fact LT Pro" w:cstheme="majorHAnsi"/>
          <w:color w:val="auto"/>
          <w:sz w:val="21"/>
          <w:szCs w:val="21"/>
          <w:lang w:val="en-AU"/>
        </w:rPr>
      </w:pPr>
    </w:p>
    <w:bookmarkEnd w:id="1"/>
    <w:p w14:paraId="447E1DD2" w14:textId="77777777" w:rsidR="000E0F2D" w:rsidRDefault="000E0F2D" w:rsidP="00F012E3">
      <w:pPr>
        <w:pStyle w:val="Bodycopy"/>
        <w:rPr>
          <w:rFonts w:ascii="Compatil Fact LT Pro" w:hAnsi="Compatil Fact LT Pro" w:cstheme="majorHAnsi"/>
          <w:b/>
          <w:bCs/>
          <w:color w:val="005596"/>
          <w:sz w:val="20"/>
          <w:szCs w:val="20"/>
        </w:rPr>
      </w:pPr>
    </w:p>
    <w:p w14:paraId="13668DEF" w14:textId="77777777" w:rsidR="000E0F2D" w:rsidRDefault="000E0F2D" w:rsidP="00F012E3">
      <w:pPr>
        <w:pStyle w:val="Bodycopy"/>
        <w:rPr>
          <w:rFonts w:ascii="Compatil Fact LT Pro" w:hAnsi="Compatil Fact LT Pro" w:cstheme="majorHAnsi"/>
          <w:b/>
          <w:bCs/>
          <w:color w:val="005596"/>
          <w:sz w:val="20"/>
          <w:szCs w:val="20"/>
        </w:rPr>
      </w:pPr>
    </w:p>
    <w:p w14:paraId="55A2F0FC" w14:textId="77777777" w:rsidR="000E0F2D" w:rsidRDefault="000E0F2D" w:rsidP="00F012E3">
      <w:pPr>
        <w:pStyle w:val="Bodycopy"/>
        <w:rPr>
          <w:rFonts w:ascii="Compatil Fact LT Pro" w:hAnsi="Compatil Fact LT Pro" w:cstheme="majorHAnsi"/>
          <w:b/>
          <w:bCs/>
          <w:color w:val="005596"/>
          <w:sz w:val="20"/>
          <w:szCs w:val="20"/>
        </w:rPr>
      </w:pPr>
    </w:p>
    <w:p w14:paraId="1BB6B4ED" w14:textId="77777777" w:rsidR="000E0F2D" w:rsidRDefault="000E0F2D" w:rsidP="00F012E3">
      <w:pPr>
        <w:pStyle w:val="Bodycopy"/>
        <w:rPr>
          <w:rFonts w:ascii="Compatil Fact LT Pro" w:hAnsi="Compatil Fact LT Pro" w:cstheme="majorHAnsi"/>
          <w:b/>
          <w:bCs/>
          <w:color w:val="005596"/>
          <w:sz w:val="20"/>
          <w:szCs w:val="20"/>
        </w:rPr>
      </w:pPr>
    </w:p>
    <w:p w14:paraId="4FD87E9D" w14:textId="77777777" w:rsidR="006E46F0" w:rsidRDefault="006E46F0" w:rsidP="00F012E3">
      <w:pPr>
        <w:pStyle w:val="Bodycopy"/>
        <w:rPr>
          <w:rFonts w:ascii="Compatil Fact LT Pro" w:hAnsi="Compatil Fact LT Pro" w:cstheme="majorHAnsi"/>
          <w:b/>
          <w:bCs/>
          <w:color w:val="005596"/>
          <w:sz w:val="20"/>
          <w:szCs w:val="20"/>
        </w:rPr>
      </w:pPr>
    </w:p>
    <w:p w14:paraId="5A042408" w14:textId="77777777" w:rsidR="000E0F2D" w:rsidRDefault="000E0F2D" w:rsidP="00F012E3">
      <w:pPr>
        <w:pStyle w:val="Bodycopy"/>
        <w:rPr>
          <w:rFonts w:ascii="Compatil Fact LT Pro" w:hAnsi="Compatil Fact LT Pro" w:cstheme="majorHAnsi"/>
          <w:b/>
          <w:bCs/>
          <w:color w:val="005596"/>
          <w:sz w:val="20"/>
          <w:szCs w:val="20"/>
        </w:rPr>
      </w:pPr>
    </w:p>
    <w:p w14:paraId="20D3E38A" w14:textId="77777777" w:rsidR="000E0F2D" w:rsidRDefault="000E0F2D" w:rsidP="00F012E3">
      <w:pPr>
        <w:pStyle w:val="Bodycopy"/>
        <w:rPr>
          <w:rFonts w:ascii="Compatil Fact LT Pro" w:hAnsi="Compatil Fact LT Pro" w:cstheme="majorHAnsi"/>
          <w:b/>
          <w:bCs/>
          <w:color w:val="005596"/>
          <w:sz w:val="20"/>
          <w:szCs w:val="20"/>
        </w:rPr>
      </w:pPr>
    </w:p>
    <w:p w14:paraId="7DA71E71" w14:textId="77777777" w:rsidR="000E0F2D" w:rsidRDefault="000E0F2D" w:rsidP="00F012E3">
      <w:pPr>
        <w:pStyle w:val="Bodycopy"/>
        <w:rPr>
          <w:rFonts w:ascii="Compatil Fact LT Pro" w:hAnsi="Compatil Fact LT Pro" w:cstheme="majorHAnsi"/>
          <w:b/>
          <w:bCs/>
          <w:color w:val="005596"/>
          <w:sz w:val="20"/>
          <w:szCs w:val="20"/>
        </w:rPr>
      </w:pPr>
    </w:p>
    <w:p w14:paraId="7F1A31DB" w14:textId="4843F2AC" w:rsidR="00F012E3" w:rsidRPr="00CD5402" w:rsidRDefault="00F012E3" w:rsidP="00F012E3">
      <w:pPr>
        <w:pStyle w:val="Bodycopy"/>
        <w:rPr>
          <w:rFonts w:ascii="Compatil Fact LT Pro" w:hAnsi="Compatil Fact LT Pro" w:cstheme="majorHAnsi"/>
          <w:b/>
          <w:bCs/>
          <w:color w:val="005596"/>
          <w:sz w:val="20"/>
          <w:szCs w:val="20"/>
        </w:rPr>
      </w:pPr>
      <w:r w:rsidRPr="00CD5402">
        <w:rPr>
          <w:rFonts w:ascii="Compatil Fact LT Pro" w:hAnsi="Compatil Fact LT Pro" w:cstheme="majorHAnsi"/>
          <w:b/>
          <w:bCs/>
          <w:color w:val="005596"/>
          <w:sz w:val="20"/>
          <w:szCs w:val="20"/>
        </w:rPr>
        <w:t>IMPORTANT INFORMATION</w:t>
      </w:r>
    </w:p>
    <w:p w14:paraId="2AF7880F" w14:textId="77777777" w:rsidR="00F012E3"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9459A4">
        <w:rPr>
          <w:rFonts w:ascii="Compatil Fact LT Pro" w:eastAsiaTheme="minorHAnsi" w:hAnsi="Compatil Fact LT Pro" w:cstheme="majorHAnsi"/>
          <w:color w:val="auto"/>
          <w:sz w:val="16"/>
          <w:szCs w:val="16"/>
          <w:lang w:val="en-AU" w:eastAsia="en-AU"/>
        </w:rPr>
        <w:t xml:space="preserve">Issued by Russell Investment Management Ltd ABN 53 068 338 974, AFSL 247185 (RIM). This document contains </w:t>
      </w:r>
      <w:proofErr w:type="gramStart"/>
      <w:r w:rsidRPr="009459A4">
        <w:rPr>
          <w:rFonts w:ascii="Compatil Fact LT Pro" w:eastAsiaTheme="minorHAnsi" w:hAnsi="Compatil Fact LT Pro" w:cstheme="majorHAnsi"/>
          <w:color w:val="auto"/>
          <w:sz w:val="16"/>
          <w:szCs w:val="16"/>
          <w:lang w:val="en-AU" w:eastAsia="en-AU"/>
        </w:rPr>
        <w:t>factual information</w:t>
      </w:r>
      <w:proofErr w:type="gramEnd"/>
      <w:r w:rsidRPr="009459A4">
        <w:rPr>
          <w:rFonts w:ascii="Compatil Fact LT Pro" w:eastAsiaTheme="minorHAnsi" w:hAnsi="Compatil Fact LT Pro" w:cstheme="majorHAnsi"/>
          <w:color w:val="auto"/>
          <w:sz w:val="16"/>
          <w:szCs w:val="16"/>
          <w:lang w:val="en-AU" w:eastAsia="en-AU"/>
        </w:rPr>
        <w:t xml:space="preserve"> only about the Russell Investments Managed Portfolios. The information is not intended to imply any recommendation or opinion about a financial product. RIM is not providing financial product </w:t>
      </w:r>
      <w:proofErr w:type="gramStart"/>
      <w:r w:rsidRPr="009459A4">
        <w:rPr>
          <w:rFonts w:ascii="Compatil Fact LT Pro" w:eastAsiaTheme="minorHAnsi" w:hAnsi="Compatil Fact LT Pro" w:cstheme="majorHAnsi"/>
          <w:color w:val="auto"/>
          <w:sz w:val="16"/>
          <w:szCs w:val="16"/>
          <w:lang w:val="en-AU" w:eastAsia="en-AU"/>
        </w:rPr>
        <w:t>advice</w:t>
      </w:r>
      <w:proofErr w:type="gramEnd"/>
      <w:r w:rsidRPr="009459A4">
        <w:rPr>
          <w:rFonts w:ascii="Compatil Fact LT Pro" w:eastAsiaTheme="minorHAnsi" w:hAnsi="Compatil Fact LT Pro" w:cstheme="majorHAnsi"/>
          <w:color w:val="auto"/>
          <w:sz w:val="16"/>
          <w:szCs w:val="16"/>
          <w:lang w:val="en-AU" w:eastAsia="en-AU"/>
        </w:rPr>
        <w:t xml:space="preserve"> and you should consider obtaining independent advice before making any financial decisions. This information has been compiled from sources considered to be reliable but is not guaranteed.  </w:t>
      </w:r>
    </w:p>
    <w:p w14:paraId="752B77B2"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 xml:space="preserve">RIM is part of Russell Investments. RIM </w:t>
      </w:r>
      <w:r w:rsidRPr="00A16639">
        <w:rPr>
          <w:rFonts w:ascii="Compatil Fact LT Pro" w:eastAsiaTheme="minorHAnsi" w:hAnsi="Compatil Fact LT Pro" w:cstheme="majorHAnsi"/>
          <w:color w:val="auto"/>
          <w:sz w:val="16"/>
          <w:szCs w:val="16"/>
          <w:lang w:val="en-AU" w:eastAsia="en-AU"/>
        </w:rPr>
        <w:t>is the issuer of the Russell Investments Funds and Russell Investments ETFs mentioned in this document</w:t>
      </w:r>
      <w:r w:rsidRPr="005F1509">
        <w:rPr>
          <w:rFonts w:ascii="Compatil Fact LT Pro" w:eastAsiaTheme="minorHAnsi" w:hAnsi="Compatil Fact LT Pro" w:cstheme="majorHAnsi"/>
          <w:color w:val="auto"/>
          <w:sz w:val="16"/>
          <w:szCs w:val="16"/>
          <w:lang w:val="en-AU" w:eastAsia="en-AU"/>
        </w:rPr>
        <w:t xml:space="preserve">. Russell Investments or its associates, officers or employees may have interests in the financial products referred to in this information by acting in various roles including broker or adviser, and may receive fees, brokerage or commissions for acting in these capacities. In addition, Russell Investments or its associates, officers or employees may buy or sell the financial products as principal or agent. </w:t>
      </w:r>
    </w:p>
    <w:p w14:paraId="1F9BD61C"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 xml:space="preserve">To the extent permitted by law, no liability is accepted for any loss or damage </w:t>
      </w:r>
      <w:proofErr w:type="gramStart"/>
      <w:r w:rsidRPr="005F1509">
        <w:rPr>
          <w:rFonts w:ascii="Compatil Fact LT Pro" w:eastAsiaTheme="minorHAnsi" w:hAnsi="Compatil Fact LT Pro" w:cstheme="majorHAnsi"/>
          <w:color w:val="auto"/>
          <w:sz w:val="16"/>
          <w:szCs w:val="16"/>
          <w:lang w:val="en-AU" w:eastAsia="en-AU"/>
        </w:rPr>
        <w:t>as a result of</w:t>
      </w:r>
      <w:proofErr w:type="gramEnd"/>
      <w:r w:rsidRPr="005F1509">
        <w:rPr>
          <w:rFonts w:ascii="Compatil Fact LT Pro" w:eastAsiaTheme="minorHAnsi" w:hAnsi="Compatil Fact LT Pro" w:cstheme="majorHAnsi"/>
          <w:color w:val="auto"/>
          <w:sz w:val="16"/>
          <w:szCs w:val="16"/>
          <w:lang w:val="en-AU" w:eastAsia="en-AU"/>
        </w:rPr>
        <w:t xml:space="preserve"> reliance on this information.</w:t>
      </w:r>
    </w:p>
    <w:p w14:paraId="3871C01F" w14:textId="77777777" w:rsidR="00F012E3" w:rsidRPr="005F1509" w:rsidRDefault="00F012E3" w:rsidP="00F012E3">
      <w:pPr>
        <w:autoSpaceDE w:val="0"/>
        <w:autoSpaceDN w:val="0"/>
        <w:snapToGrid w:val="0"/>
        <w:rPr>
          <w:rFonts w:ascii="Compatil Fact LT Pro" w:eastAsiaTheme="minorHAnsi" w:hAnsi="Compatil Fact LT Pro" w:cstheme="majorHAnsi"/>
          <w:color w:val="auto"/>
          <w:sz w:val="16"/>
          <w:szCs w:val="16"/>
          <w:lang w:val="en-AU" w:eastAsia="en-AU"/>
        </w:rPr>
      </w:pPr>
      <w:r w:rsidRPr="005F1509">
        <w:rPr>
          <w:rFonts w:ascii="Compatil Fact LT Pro" w:eastAsiaTheme="minorHAnsi" w:hAnsi="Compatil Fact LT Pro" w:cstheme="majorHAnsi"/>
          <w:color w:val="auto"/>
          <w:sz w:val="16"/>
          <w:szCs w:val="16"/>
          <w:lang w:val="en-AU" w:eastAsia="en-AU"/>
        </w:rPr>
        <w:t xml:space="preserve">This material does not constitute professional advice or opinion and is not intended to be used as the basis for making an investment decision. </w:t>
      </w:r>
    </w:p>
    <w:p w14:paraId="38C61608" w14:textId="70F4EE05" w:rsidR="00483711" w:rsidRDefault="00F012E3" w:rsidP="00D95644">
      <w:pPr>
        <w:autoSpaceDE w:val="0"/>
        <w:autoSpaceDN w:val="0"/>
        <w:snapToGrid w:val="0"/>
      </w:pPr>
      <w:r w:rsidRPr="005F1509">
        <w:rPr>
          <w:rFonts w:ascii="Compatil Fact LT Pro" w:eastAsiaTheme="minorHAnsi" w:hAnsi="Compatil Fact LT Pro" w:cstheme="majorHAnsi"/>
          <w:color w:val="auto"/>
          <w:sz w:val="16"/>
          <w:szCs w:val="16"/>
          <w:lang w:val="en-AU" w:eastAsia="en-AU"/>
        </w:rPr>
        <w:t>This work is copyright 202</w:t>
      </w:r>
      <w:r w:rsidR="00305D38">
        <w:rPr>
          <w:rFonts w:ascii="Compatil Fact LT Pro" w:eastAsiaTheme="minorHAnsi" w:hAnsi="Compatil Fact LT Pro" w:cstheme="majorHAnsi"/>
          <w:color w:val="auto"/>
          <w:sz w:val="16"/>
          <w:szCs w:val="16"/>
          <w:lang w:val="en-AU" w:eastAsia="en-AU"/>
        </w:rPr>
        <w:t>5</w:t>
      </w:r>
      <w:r w:rsidRPr="005F1509">
        <w:rPr>
          <w:rFonts w:ascii="Compatil Fact LT Pro" w:eastAsiaTheme="minorHAnsi" w:hAnsi="Compatil Fact LT Pro" w:cstheme="majorHAnsi"/>
          <w:color w:val="auto"/>
          <w:sz w:val="16"/>
          <w:szCs w:val="16"/>
          <w:lang w:val="en-AU" w:eastAsia="en-AU"/>
        </w:rPr>
        <w:t xml:space="preserve">. Apart from any use permitted under the Copyright Act 1968, no part may be reproduced by any process, nor may any other exclusive right be exercised, without the permission of Russell Investment Management Ltd. </w:t>
      </w:r>
    </w:p>
    <w:sectPr w:rsidR="00483711" w:rsidSect="002713DF">
      <w:headerReference w:type="default" r:id="rId13"/>
      <w:footerReference w:type="default" r:id="rId14"/>
      <w:type w:val="continuous"/>
      <w:pgSz w:w="11907" w:h="16840" w:code="9"/>
      <w:pgMar w:top="1135" w:right="794" w:bottom="1440" w:left="794" w:header="578"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F7505" w14:textId="77777777" w:rsidR="00E21143" w:rsidRDefault="00E21143">
      <w:pPr>
        <w:spacing w:after="0"/>
        <w:rPr>
          <w:color w:val="79BDE8" w:themeColor="background2"/>
        </w:rPr>
      </w:pPr>
      <w:r>
        <w:rPr>
          <w:color w:val="79BDE8" w:themeColor="background2"/>
        </w:rPr>
        <w:separator/>
      </w:r>
    </w:p>
  </w:endnote>
  <w:endnote w:type="continuationSeparator" w:id="0">
    <w:p w14:paraId="24D1FC8C" w14:textId="77777777" w:rsidR="00E21143" w:rsidRDefault="00E21143">
      <w:pPr>
        <w:spacing w:after="0"/>
        <w:rPr>
          <w:color w:val="79BDE8" w:themeColor="background2"/>
        </w:rPr>
      </w:pPr>
      <w:r>
        <w:rPr>
          <w:color w:val="79BDE8" w:themeColor="background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mpatil Fact LT Pro">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F7EE" w14:textId="2D40D2E2" w:rsidR="005C1CEF" w:rsidRDefault="0018045A">
    <w:pPr>
      <w:pStyle w:val="Footer"/>
      <w:tabs>
        <w:tab w:val="clear" w:pos="10620"/>
        <w:tab w:val="right" w:pos="10319"/>
      </w:tabs>
    </w:pPr>
    <w:r w:rsidRPr="009C6AAE">
      <w:rPr>
        <w:b/>
        <w:noProof/>
      </w:rPr>
      <mc:AlternateContent>
        <mc:Choice Requires="wps">
          <w:drawing>
            <wp:anchor distT="45720" distB="45720" distL="114300" distR="114300" simplePos="0" relativeHeight="251659264" behindDoc="0" locked="0" layoutInCell="1" allowOverlap="1" wp14:anchorId="45EA4D50" wp14:editId="1378CF24">
              <wp:simplePos x="0" y="0"/>
              <wp:positionH relativeFrom="page">
                <wp:posOffset>4015141</wp:posOffset>
              </wp:positionH>
              <wp:positionV relativeFrom="paragraph">
                <wp:posOffset>157863</wp:posOffset>
              </wp:positionV>
              <wp:extent cx="340995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85750"/>
                      </a:xfrm>
                      <a:prstGeom prst="rect">
                        <a:avLst/>
                      </a:prstGeom>
                      <a:noFill/>
                      <a:ln w="9525">
                        <a:noFill/>
                        <a:miter lim="800000"/>
                        <a:headEnd/>
                        <a:tailEnd/>
                      </a:ln>
                    </wps:spPr>
                    <wps:txbx>
                      <w:txbxContent>
                        <w:p w14:paraId="25B8E020" w14:textId="77777777" w:rsidR="0018045A" w:rsidRPr="009C6AAE" w:rsidRDefault="0018045A" w:rsidP="0018045A">
                          <w:pPr>
                            <w:jc w:val="right"/>
                            <w:rPr>
                              <w:color w:val="auto"/>
                              <w:sz w:val="16"/>
                              <w:szCs w:val="16"/>
                            </w:rPr>
                          </w:pPr>
                          <w:r w:rsidRPr="009C6AAE">
                            <w:rPr>
                              <w:color w:val="auto"/>
                              <w:sz w:val="16"/>
                              <w:szCs w:val="16"/>
                            </w:rPr>
                            <w:t>FOR FINANCIAL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A4D50" id="_x0000_t202" coordsize="21600,21600" o:spt="202" path="m,l,21600r21600,l21600,xe">
              <v:stroke joinstyle="miter"/>
              <v:path gradientshapeok="t" o:connecttype="rect"/>
            </v:shapetype>
            <v:shape id="Text Box 2" o:spid="_x0000_s1026" type="#_x0000_t202" style="position:absolute;margin-left:316.15pt;margin-top:12.45pt;width:268.5pt;height:2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" filled="f" stroked="f">
              <v:textbox>
                <w:txbxContent>
                  <w:p w14:paraId="25B8E020" w14:textId="77777777" w:rsidR="0018045A" w:rsidRPr="009C6AAE" w:rsidRDefault="0018045A" w:rsidP="0018045A">
                    <w:pPr>
                      <w:jc w:val="right"/>
                      <w:rPr>
                        <w:color w:val="auto"/>
                        <w:sz w:val="16"/>
                        <w:szCs w:val="16"/>
                      </w:rPr>
                    </w:pPr>
                    <w:r w:rsidRPr="009C6AAE">
                      <w:rPr>
                        <w:color w:val="auto"/>
                        <w:sz w:val="16"/>
                        <w:szCs w:val="16"/>
                      </w:rPr>
                      <w:t>FOR FINANCIAL PROFESSIONAL USE ONLY</w:t>
                    </w:r>
                  </w:p>
                </w:txbxContent>
              </v:textbox>
              <w10:wrap anchorx="page"/>
            </v:shape>
          </w:pict>
        </mc:Fallback>
      </mc:AlternateContent>
    </w:r>
    <w:r w:rsidR="005C1CEF">
      <w:rPr>
        <w:b/>
      </w:rPr>
      <w:t>Russell Investments</w:t>
    </w:r>
    <w:r w:rsidR="005C1CEF">
      <w:t xml:space="preserve"> / Managed Portfolios</w:t>
    </w:r>
    <w:r w:rsidR="005C1CEF">
      <w:tab/>
      <w:t xml:space="preserve">/ </w:t>
    </w:r>
    <w:r w:rsidR="005C1CEF">
      <w:rPr>
        <w:noProof/>
      </w:rPr>
      <w:fldChar w:fldCharType="begin"/>
    </w:r>
    <w:r w:rsidR="005C1CEF">
      <w:rPr>
        <w:noProof/>
      </w:rPr>
      <w:instrText xml:space="preserve"> PAGE   \* MERGEFORMAT </w:instrText>
    </w:r>
    <w:r w:rsidR="005C1CEF">
      <w:rPr>
        <w:noProof/>
      </w:rPr>
      <w:fldChar w:fldCharType="separate"/>
    </w:r>
    <w:r w:rsidR="005C1CEF">
      <w:rPr>
        <w:noProof/>
      </w:rPr>
      <w:t>5</w:t>
    </w:r>
    <w:r w:rsidR="005C1CE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1032" w14:textId="23921E2D" w:rsidR="00FB583B" w:rsidRDefault="00FB583B" w:rsidP="00E05E86">
    <w:pPr>
      <w:pStyle w:val="Footer"/>
      <w:tabs>
        <w:tab w:val="right" w:pos="10319"/>
      </w:tabs>
    </w:pPr>
    <w:r w:rsidRPr="009C6AAE">
      <w:rPr>
        <w:b/>
        <w:noProof/>
      </w:rPr>
      <mc:AlternateContent>
        <mc:Choice Requires="wps">
          <w:drawing>
            <wp:anchor distT="45720" distB="45720" distL="114300" distR="114300" simplePos="0" relativeHeight="251665408" behindDoc="0" locked="0" layoutInCell="1" allowOverlap="1" wp14:anchorId="5A4E1B90" wp14:editId="01845582">
              <wp:simplePos x="0" y="0"/>
              <wp:positionH relativeFrom="page">
                <wp:posOffset>4015141</wp:posOffset>
              </wp:positionH>
              <wp:positionV relativeFrom="paragraph">
                <wp:posOffset>157863</wp:posOffset>
              </wp:positionV>
              <wp:extent cx="3409950" cy="28575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85750"/>
                      </a:xfrm>
                      <a:prstGeom prst="rect">
                        <a:avLst/>
                      </a:prstGeom>
                      <a:noFill/>
                      <a:ln w="9525">
                        <a:noFill/>
                        <a:miter lim="800000"/>
                        <a:headEnd/>
                        <a:tailEnd/>
                      </a:ln>
                    </wps:spPr>
                    <wps:txbx>
                      <w:txbxContent>
                        <w:p w14:paraId="197195AE" w14:textId="77777777" w:rsidR="00FB583B" w:rsidRPr="009C6AAE" w:rsidRDefault="00FB583B" w:rsidP="0018045A">
                          <w:pPr>
                            <w:jc w:val="right"/>
                            <w:rPr>
                              <w:color w:val="auto"/>
                              <w:sz w:val="16"/>
                              <w:szCs w:val="16"/>
                            </w:rPr>
                          </w:pPr>
                          <w:r w:rsidRPr="009C6AAE">
                            <w:rPr>
                              <w:color w:val="auto"/>
                              <w:sz w:val="16"/>
                              <w:szCs w:val="16"/>
                            </w:rPr>
                            <w:t>FOR FINANCIAL PROFESSIONAL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E1B90" id="_x0000_t202" coordsize="21600,21600" o:spt="202" path="m,l,21600r21600,l21600,xe">
              <v:stroke joinstyle="miter"/>
              <v:path gradientshapeok="t" o:connecttype="rect"/>
            </v:shapetype>
            <v:shape id="_x0000_s1027" type="#_x0000_t202" style="position:absolute;margin-left:316.15pt;margin-top:12.45pt;width:268.5pt;height:22.5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k5+QEAANQDAAAOAAAAZHJzL2Uyb0RvYy54bWysU9uO2yAQfa/Uf0C8N3bcuJtYcVbb3W5V&#10;aXuRtv0AjHGMCgwFEjv9+h2wNxu1b1X9gGY8cJhz5rC9HrUiR+G8BFPT5SKnRBgOrTT7mv74fv9m&#10;TY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" filled="f" stroked="f">
              <v:textbox>
                <w:txbxContent>
                  <w:p w14:paraId="197195AE" w14:textId="77777777" w:rsidR="00FB583B" w:rsidRPr="009C6AAE" w:rsidRDefault="00FB583B" w:rsidP="0018045A">
                    <w:pPr>
                      <w:jc w:val="right"/>
                      <w:rPr>
                        <w:color w:val="auto"/>
                        <w:sz w:val="16"/>
                        <w:szCs w:val="16"/>
                      </w:rPr>
                    </w:pPr>
                    <w:r w:rsidRPr="009C6AAE">
                      <w:rPr>
                        <w:color w:val="auto"/>
                        <w:sz w:val="16"/>
                        <w:szCs w:val="16"/>
                      </w:rPr>
                      <w:t>FOR FINANCIAL PROFESSIONAL USE ONLY</w:t>
                    </w:r>
                  </w:p>
                </w:txbxContent>
              </v:textbox>
              <w10:wrap anchorx="page"/>
            </v:shape>
          </w:pict>
        </mc:Fallback>
      </mc:AlternateContent>
    </w:r>
    <w:r>
      <w:rPr>
        <w:b/>
      </w:rPr>
      <w:t>Russell Investments</w:t>
    </w:r>
    <w:r>
      <w:t xml:space="preserve"> / </w:t>
    </w:r>
    <w:r w:rsidR="005F1509">
      <w:t>Managed Portfolios</w:t>
    </w:r>
    <w:r>
      <w:tab/>
      <w:t xml:space="preserve">/ </w:t>
    </w:r>
    <w:r>
      <w:rPr>
        <w:noProof/>
      </w:rPr>
      <w:fldChar w:fldCharType="begin"/>
    </w:r>
    <w:r>
      <w:rPr>
        <w:noProof/>
      </w:rPr>
      <w:instrText xml:space="preserve"> PAGE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4845" w14:textId="77777777" w:rsidR="00E21143" w:rsidRDefault="00E21143">
      <w:pPr>
        <w:spacing w:after="0"/>
        <w:rPr>
          <w:color w:val="79BDE8" w:themeColor="background2"/>
        </w:rPr>
      </w:pPr>
      <w:r>
        <w:rPr>
          <w:color w:val="79BDE8" w:themeColor="background2"/>
        </w:rPr>
        <w:separator/>
      </w:r>
    </w:p>
  </w:footnote>
  <w:footnote w:type="continuationSeparator" w:id="0">
    <w:p w14:paraId="265E2882" w14:textId="77777777" w:rsidR="00E21143" w:rsidRDefault="00E21143">
      <w:pPr>
        <w:spacing w:after="0"/>
        <w:rPr>
          <w:color w:val="79BDE8" w:themeColor="background2"/>
        </w:rPr>
      </w:pPr>
      <w:r>
        <w:rPr>
          <w:color w:val="79BDE8" w:themeColor="background2"/>
        </w:rPr>
        <w:continuationSeparator/>
      </w:r>
    </w:p>
  </w:footnote>
  <w:footnote w:id="1">
    <w:p w14:paraId="1CE63062" w14:textId="48CCD341" w:rsidR="003C2E38" w:rsidRPr="003C2E38" w:rsidRDefault="003C2E38" w:rsidP="003C2E38">
      <w:pPr>
        <w:ind w:right="0"/>
        <w:rPr>
          <w:rFonts w:ascii="Compatil Fact LT Pro" w:eastAsia="Calibri" w:hAnsi="Compatil Fact LT Pro" w:cstheme="majorHAnsi"/>
          <w:color w:val="auto"/>
          <w:sz w:val="16"/>
          <w:szCs w:val="16"/>
          <w:lang w:val="en-AU"/>
        </w:rPr>
      </w:pPr>
      <w:r w:rsidRPr="003C2E38">
        <w:rPr>
          <w:rFonts w:ascii="Compatil Fact LT Pro" w:eastAsia="Calibri" w:hAnsi="Compatil Fact LT Pro" w:cstheme="majorHAnsi"/>
          <w:color w:val="auto"/>
          <w:sz w:val="16"/>
          <w:szCs w:val="16"/>
          <w:vertAlign w:val="superscript"/>
          <w:lang w:val="en-AU"/>
        </w:rPr>
        <w:footnoteRef/>
      </w:r>
      <w:r w:rsidRPr="003C2E38">
        <w:rPr>
          <w:rFonts w:ascii="Compatil Fact LT Pro" w:eastAsia="Calibri" w:hAnsi="Compatil Fact LT Pro" w:cstheme="majorHAnsi"/>
          <w:color w:val="auto"/>
          <w:sz w:val="16"/>
          <w:szCs w:val="16"/>
          <w:lang w:val="en-AU"/>
        </w:rPr>
        <w:t xml:space="preserve"> Using Russell Investments</w:t>
      </w:r>
      <w:r>
        <w:rPr>
          <w:rFonts w:ascii="Compatil Fact LT Pro" w:eastAsia="Calibri" w:hAnsi="Compatil Fact LT Pro" w:cstheme="majorHAnsi"/>
          <w:color w:val="auto"/>
          <w:sz w:val="16"/>
          <w:szCs w:val="16"/>
          <w:lang w:val="en-AU"/>
        </w:rPr>
        <w:t>’</w:t>
      </w:r>
      <w:r w:rsidRPr="003C2E38">
        <w:rPr>
          <w:rFonts w:ascii="Compatil Fact LT Pro" w:eastAsia="Calibri" w:hAnsi="Compatil Fact LT Pro" w:cstheme="majorHAnsi"/>
          <w:color w:val="auto"/>
          <w:sz w:val="16"/>
          <w:szCs w:val="16"/>
          <w:lang w:val="en-AU"/>
        </w:rPr>
        <w:t xml:space="preserve"> proprietary material ESG scores. Further details of our Material ESG scoring approach and methodology is contained in our research paper </w:t>
      </w:r>
      <w:r w:rsidRPr="003C2E38">
        <w:rPr>
          <w:rFonts w:ascii="Compatil Fact LT Pro" w:eastAsia="Calibri" w:hAnsi="Compatil Fact LT Pro" w:cstheme="majorHAnsi"/>
          <w:i/>
          <w:iCs/>
          <w:color w:val="auto"/>
          <w:sz w:val="16"/>
          <w:szCs w:val="16"/>
          <w:lang w:val="en-AU"/>
        </w:rPr>
        <w:t xml:space="preserve">Materiality Matters: Targeting the ESG issues that impact performance – the Material ESG </w:t>
      </w:r>
      <w:r w:rsidR="00F4605B">
        <w:rPr>
          <w:rFonts w:ascii="Compatil Fact LT Pro" w:eastAsia="Calibri" w:hAnsi="Compatil Fact LT Pro" w:cstheme="majorHAnsi"/>
          <w:i/>
          <w:iCs/>
          <w:color w:val="auto"/>
          <w:sz w:val="16"/>
          <w:szCs w:val="16"/>
          <w:lang w:val="en-AU"/>
        </w:rPr>
        <w:t>S</w:t>
      </w:r>
      <w:r w:rsidRPr="003C2E38">
        <w:rPr>
          <w:rFonts w:ascii="Compatil Fact LT Pro" w:eastAsia="Calibri" w:hAnsi="Compatil Fact LT Pro" w:cstheme="majorHAnsi"/>
          <w:i/>
          <w:iCs/>
          <w:color w:val="auto"/>
          <w:sz w:val="16"/>
          <w:szCs w:val="16"/>
          <w:lang w:val="en-AU"/>
        </w:rPr>
        <w:t>core</w:t>
      </w:r>
      <w:r w:rsidRPr="003C2E38">
        <w:rPr>
          <w:rFonts w:ascii="Compatil Fact LT Pro" w:eastAsia="Calibri" w:hAnsi="Compatil Fact LT Pro" w:cstheme="majorHAnsi"/>
          <w:color w:val="auto"/>
          <w:sz w:val="16"/>
          <w:szCs w:val="16"/>
          <w:lang w:val="en-AU"/>
        </w:rPr>
        <w:t>.</w:t>
      </w:r>
    </w:p>
  </w:footnote>
  <w:footnote w:id="2">
    <w:p w14:paraId="2901CFB5" w14:textId="157BBF15" w:rsidR="00277570" w:rsidRPr="004F2818" w:rsidRDefault="00277570" w:rsidP="00627E56">
      <w:pPr>
        <w:pStyle w:val="Tablegraphintrocopy"/>
        <w:rPr>
          <w:lang w:val="en-AU"/>
        </w:rPr>
      </w:pPr>
      <w:r w:rsidRPr="00627E56">
        <w:rPr>
          <w:rStyle w:val="FootnoteReference"/>
          <w:rFonts w:ascii="Arial" w:hAnsi="Arial" w:cs="Arial"/>
          <w:szCs w:val="16"/>
        </w:rPr>
        <w:footnoteRef/>
      </w:r>
      <w:r w:rsidRPr="00627E56">
        <w:rPr>
          <w:rFonts w:ascii="Arial" w:hAnsi="Arial" w:cs="Arial"/>
          <w:szCs w:val="16"/>
        </w:rPr>
        <w:t xml:space="preserve"> </w:t>
      </w:r>
      <w:r w:rsidRPr="00627E56">
        <w:rPr>
          <w:rFonts w:ascii="Compatil Fact LT Pro" w:eastAsiaTheme="minorHAnsi" w:hAnsi="Compatil Fact LT Pro" w:cstheme="majorHAnsi"/>
          <w:color w:val="auto"/>
          <w:spacing w:val="0"/>
          <w:szCs w:val="16"/>
          <w:lang w:val="en-AU" w:eastAsia="en-AU"/>
        </w:rPr>
        <w:t>Asset class breakdown is based on the model and may vary slightly depending on the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FB20D" w14:textId="5BAB15FD" w:rsidR="00FB583B" w:rsidRDefault="00C305FD" w:rsidP="00FB583B">
    <w:pPr>
      <w:pStyle w:val="Header"/>
      <w:pBdr>
        <w:top w:val="none" w:sz="0" w:space="0" w:color="auto"/>
      </w:pBdr>
    </w:pPr>
    <w:bookmarkStart w:id="0" w:name="_Hlk123809019"/>
    <w:r>
      <w:rPr>
        <w:noProof/>
      </w:rPr>
      <w:drawing>
        <wp:anchor distT="0" distB="0" distL="114300" distR="114300" simplePos="0" relativeHeight="251659776" behindDoc="1" locked="1" layoutInCell="1" allowOverlap="1" wp14:anchorId="4D777EF9" wp14:editId="1CB297C9">
          <wp:simplePos x="0" y="0"/>
          <wp:positionH relativeFrom="page">
            <wp:posOffset>8890</wp:posOffset>
          </wp:positionH>
          <wp:positionV relativeFrom="page">
            <wp:align>top</wp:align>
          </wp:positionV>
          <wp:extent cx="7766685" cy="1827530"/>
          <wp:effectExtent l="0" t="0" r="5715" b="1270"/>
          <wp:wrapNone/>
          <wp:docPr id="541957477" name="Picture 541957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pic:cNvPicPr/>
                </pic:nvPicPr>
                <pic:blipFill>
                  <a:blip r:embed="rId1">
                    <a:extLst>
                      <a:ext uri="{28A0092B-C50C-407E-A947-70E740481C1C}">
                        <a14:useLocalDpi xmlns:a14="http://schemas.microsoft.com/office/drawing/2010/main" val="0"/>
                      </a:ext>
                    </a:extLst>
                  </a:blip>
                  <a:stretch>
                    <a:fillRect/>
                  </a:stretch>
                </pic:blipFill>
                <pic:spPr>
                  <a:xfrm>
                    <a:off x="0" y="0"/>
                    <a:ext cx="7766685" cy="1827530"/>
                  </a:xfrm>
                  <a:prstGeom prst="rect">
                    <a:avLst/>
                  </a:prstGeom>
                </pic:spPr>
              </pic:pic>
            </a:graphicData>
          </a:graphic>
          <wp14:sizeRelH relativeFrom="margin">
            <wp14:pctWidth>0</wp14:pctWidth>
          </wp14:sizeRelH>
          <wp14:sizeRelV relativeFrom="margin">
            <wp14:pctHeight>0</wp14:pctHeight>
          </wp14:sizeRelV>
        </wp:anchor>
      </w:drawing>
    </w:r>
    <w:bookmarkEnd w:id="0"/>
    <w:r w:rsidR="00FB583B">
      <w:rPr>
        <w:noProof/>
        <w:sz w:val="8"/>
      </w:rPr>
      <w:drawing>
        <wp:anchor distT="0" distB="0" distL="114300" distR="114300" simplePos="0" relativeHeight="251658752" behindDoc="1" locked="1" layoutInCell="1" allowOverlap="1" wp14:anchorId="27B46E42" wp14:editId="055627C8">
          <wp:simplePos x="0" y="0"/>
          <wp:positionH relativeFrom="page">
            <wp:posOffset>11430</wp:posOffset>
          </wp:positionH>
          <wp:positionV relativeFrom="page">
            <wp:posOffset>1366520</wp:posOffset>
          </wp:positionV>
          <wp:extent cx="7772400" cy="120650"/>
          <wp:effectExtent l="0" t="0" r="0" b="0"/>
          <wp:wrapNone/>
          <wp:docPr id="2097352976" name="Picture 2097352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rcRect t="15876" b="15876"/>
                  <a:stretch>
                    <a:fillRect/>
                  </a:stretch>
                </pic:blipFill>
                <pic:spPr bwMode="auto">
                  <a:xfrm>
                    <a:off x="0" y="0"/>
                    <a:ext cx="7772400" cy="120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583B">
      <w:rPr>
        <w:noProof/>
      </w:rPr>
      <w:drawing>
        <wp:anchor distT="0" distB="0" distL="114300" distR="114300" simplePos="0" relativeHeight="251656704" behindDoc="1" locked="1" layoutInCell="1" allowOverlap="1" wp14:anchorId="7E3025EF" wp14:editId="21BE9955">
          <wp:simplePos x="0" y="0"/>
          <wp:positionH relativeFrom="page">
            <wp:posOffset>5572125</wp:posOffset>
          </wp:positionH>
          <wp:positionV relativeFrom="page">
            <wp:posOffset>470535</wp:posOffset>
          </wp:positionV>
          <wp:extent cx="1445260" cy="330200"/>
          <wp:effectExtent l="0" t="0" r="2540" b="0"/>
          <wp:wrapNone/>
          <wp:docPr id="1642245354" name="Picture 164224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445260" cy="330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3DEE" w14:textId="77777777" w:rsidR="00FB583B" w:rsidRDefault="00FB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FA3C96"/>
    <w:lvl w:ilvl="0">
      <w:start w:val="1"/>
      <w:numFmt w:val="decimal"/>
      <w:lvlText w:val="%1."/>
      <w:lvlJc w:val="left"/>
      <w:pPr>
        <w:tabs>
          <w:tab w:val="num" w:pos="1800"/>
        </w:tabs>
        <w:ind w:left="1800" w:hanging="360"/>
      </w:pPr>
    </w:lvl>
  </w:abstractNum>
  <w:abstractNum w:abstractNumId="1" w15:restartNumberingAfterBreak="0">
    <w:nsid w:val="FFFFFF80"/>
    <w:multiLevelType w:val="singleLevel"/>
    <w:tmpl w:val="CA863320"/>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9162E23E"/>
    <w:lvl w:ilvl="0">
      <w:start w:val="1"/>
      <w:numFmt w:val="decimal"/>
      <w:lvlText w:val="%1."/>
      <w:lvlJc w:val="left"/>
      <w:pPr>
        <w:tabs>
          <w:tab w:val="num" w:pos="360"/>
        </w:tabs>
        <w:ind w:left="360" w:hanging="360"/>
      </w:pPr>
    </w:lvl>
  </w:abstractNum>
  <w:abstractNum w:abstractNumId="3" w15:restartNumberingAfterBreak="0">
    <w:nsid w:val="12C94FA5"/>
    <w:multiLevelType w:val="multilevel"/>
    <w:tmpl w:val="0409001F"/>
    <w:styleLink w:val="Decimaloutlin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C94489"/>
    <w:multiLevelType w:val="hybridMultilevel"/>
    <w:tmpl w:val="DBA6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250A1B"/>
    <w:multiLevelType w:val="multilevel"/>
    <w:tmpl w:val="88F6AD52"/>
    <w:styleLink w:val="Bulletsymbols"/>
    <w:lvl w:ilvl="0">
      <w:start w:val="1"/>
      <w:numFmt w:val="bullet"/>
      <w:lvlText w:val=""/>
      <w:lvlJc w:val="left"/>
      <w:pPr>
        <w:ind w:left="360" w:hanging="360"/>
      </w:pPr>
      <w:rPr>
        <w:rFonts w:ascii="Symbol" w:hAnsi="Symbol"/>
        <w:color w:val="79BDE8" w:themeColor="background2"/>
        <w:position w:val="2"/>
        <w:sz w:val="18"/>
      </w:rPr>
    </w:lvl>
    <w:lvl w:ilvl="1">
      <w:start w:val="1"/>
      <w:numFmt w:val="bullet"/>
      <w:lvlText w:val=""/>
      <w:lvlJc w:val="left"/>
      <w:pPr>
        <w:ind w:left="720" w:hanging="360"/>
      </w:pPr>
      <w:rPr>
        <w:rFonts w:ascii="Symbol" w:hAnsi="Symbol"/>
        <w:color w:val="79BDE8" w:themeColor="background2"/>
        <w:position w:val="2"/>
        <w:sz w:val="18"/>
      </w:rPr>
    </w:lvl>
    <w:lvl w:ilvl="2">
      <w:start w:val="1"/>
      <w:numFmt w:val="bullet"/>
      <w:lvlText w:val=""/>
      <w:lvlJc w:val="left"/>
      <w:pPr>
        <w:ind w:left="1080" w:hanging="360"/>
      </w:pPr>
      <w:rPr>
        <w:rFonts w:ascii="Symbol" w:hAnsi="Symbol"/>
        <w:color w:val="79BDE8" w:themeColor="background2"/>
        <w:position w:val="2"/>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881E5B"/>
    <w:multiLevelType w:val="hybridMultilevel"/>
    <w:tmpl w:val="F0604B8C"/>
    <w:lvl w:ilvl="0" w:tplc="8A24FD8C">
      <w:start w:val="1"/>
      <w:numFmt w:val="bullet"/>
      <w:pStyle w:val="Bulletlistcopy"/>
      <w:lvlText w:val=""/>
      <w:lvlJc w:val="left"/>
      <w:pPr>
        <w:ind w:left="720" w:hanging="360"/>
      </w:pPr>
      <w:rPr>
        <w:rFonts w:ascii="Symbol" w:hAnsi="Symbol" w:hint="default"/>
        <w:color w:val="79BDE8"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61808"/>
    <w:multiLevelType w:val="hybridMultilevel"/>
    <w:tmpl w:val="5518DD4A"/>
    <w:lvl w:ilvl="0" w:tplc="66B0DE34">
      <w:start w:val="1"/>
      <w:numFmt w:val="bullet"/>
      <w:lvlText w:val=""/>
      <w:lvlJc w:val="left"/>
      <w:pPr>
        <w:ind w:left="720" w:hanging="360"/>
      </w:pPr>
      <w:rPr>
        <w:rFonts w:ascii="Symbol" w:hAnsi="Symbol" w:hint="default"/>
        <w:color w:val="F57E20"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72AC3"/>
    <w:multiLevelType w:val="hybridMultilevel"/>
    <w:tmpl w:val="55F64A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2EC566D8"/>
    <w:multiLevelType w:val="hybridMultilevel"/>
    <w:tmpl w:val="8F760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F11357"/>
    <w:multiLevelType w:val="hybridMultilevel"/>
    <w:tmpl w:val="2F74D41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0DF0A31"/>
    <w:multiLevelType w:val="hybridMultilevel"/>
    <w:tmpl w:val="435E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16F78"/>
    <w:multiLevelType w:val="hybridMultilevel"/>
    <w:tmpl w:val="E168D7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F17327"/>
    <w:multiLevelType w:val="hybridMultilevel"/>
    <w:tmpl w:val="C4AEF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1B3A53"/>
    <w:multiLevelType w:val="hybridMultilevel"/>
    <w:tmpl w:val="A1C0F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49629F"/>
    <w:multiLevelType w:val="hybridMultilevel"/>
    <w:tmpl w:val="2A94CD10"/>
    <w:lvl w:ilvl="0" w:tplc="66B0DE34">
      <w:start w:val="1"/>
      <w:numFmt w:val="bullet"/>
      <w:lvlText w:val=""/>
      <w:lvlJc w:val="left"/>
      <w:pPr>
        <w:ind w:left="1800" w:hanging="360"/>
      </w:pPr>
      <w:rPr>
        <w:rFonts w:ascii="Symbol" w:hAnsi="Symbol" w:hint="default"/>
        <w:color w:val="F57E20" w:themeColor="accent1"/>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3FE03EDE"/>
    <w:multiLevelType w:val="hybridMultilevel"/>
    <w:tmpl w:val="1FFC86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407B61FF"/>
    <w:multiLevelType w:val="hybridMultilevel"/>
    <w:tmpl w:val="0E40F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0E0094"/>
    <w:multiLevelType w:val="multilevel"/>
    <w:tmpl w:val="1FDE0F3E"/>
    <w:styleLink w:val="Alphanumericlist"/>
    <w:lvl w:ilvl="0">
      <w:start w:val="1"/>
      <w:numFmt w:val="decimal"/>
      <w:lvlText w:val="%1."/>
      <w:lvlJc w:val="left"/>
      <w:pPr>
        <w:ind w:left="360" w:hanging="360"/>
      </w:pPr>
      <w:rPr>
        <w:rFonts w:hint="default"/>
        <w:b/>
        <w:i w:val="0"/>
        <w:color w:val="79BDE8" w:themeColor="background2"/>
      </w:rPr>
    </w:lvl>
    <w:lvl w:ilvl="1">
      <w:start w:val="1"/>
      <w:numFmt w:val="lowerLetter"/>
      <w:lvlText w:val="%2."/>
      <w:lvlJc w:val="left"/>
      <w:pPr>
        <w:ind w:left="720" w:hanging="360"/>
      </w:pPr>
      <w:rPr>
        <w:rFonts w:hint="default"/>
        <w:b/>
        <w:color w:val="79BDE8" w:themeColor="background2"/>
      </w:rPr>
    </w:lvl>
    <w:lvl w:ilvl="2">
      <w:start w:val="1"/>
      <w:numFmt w:val="lowerRoman"/>
      <w:lvlText w:val="%3."/>
      <w:lvlJc w:val="left"/>
      <w:pPr>
        <w:ind w:left="1080" w:hanging="360"/>
      </w:pPr>
      <w:rPr>
        <w:rFonts w:hint="default"/>
        <w:b/>
        <w:color w:val="79BDE8" w:themeColor="background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F605844"/>
    <w:multiLevelType w:val="hybridMultilevel"/>
    <w:tmpl w:val="05B8DA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45A4CE2"/>
    <w:multiLevelType w:val="hybridMultilevel"/>
    <w:tmpl w:val="554244B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48A04B0"/>
    <w:multiLevelType w:val="hybridMultilevel"/>
    <w:tmpl w:val="2884A4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ED111E4"/>
    <w:multiLevelType w:val="hybridMultilevel"/>
    <w:tmpl w:val="0EFA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EC6189"/>
    <w:multiLevelType w:val="hybridMultilevel"/>
    <w:tmpl w:val="2FD4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3161199">
    <w:abstractNumId w:val="18"/>
  </w:num>
  <w:num w:numId="2" w16cid:durableId="1316180746">
    <w:abstractNumId w:val="5"/>
  </w:num>
  <w:num w:numId="3" w16cid:durableId="703987822">
    <w:abstractNumId w:val="3"/>
  </w:num>
  <w:num w:numId="4" w16cid:durableId="528570502">
    <w:abstractNumId w:val="6"/>
  </w:num>
  <w:num w:numId="5" w16cid:durableId="1596816051">
    <w:abstractNumId w:val="16"/>
  </w:num>
  <w:num w:numId="6" w16cid:durableId="327951856">
    <w:abstractNumId w:val="21"/>
  </w:num>
  <w:num w:numId="7" w16cid:durableId="1235310619">
    <w:abstractNumId w:val="8"/>
  </w:num>
  <w:num w:numId="8" w16cid:durableId="178156229">
    <w:abstractNumId w:val="19"/>
  </w:num>
  <w:num w:numId="9" w16cid:durableId="1587884412">
    <w:abstractNumId w:val="8"/>
  </w:num>
  <w:num w:numId="10" w16cid:durableId="1334067672">
    <w:abstractNumId w:val="16"/>
  </w:num>
  <w:num w:numId="11" w16cid:durableId="216362312">
    <w:abstractNumId w:val="19"/>
  </w:num>
  <w:num w:numId="12" w16cid:durableId="601887336">
    <w:abstractNumId w:val="21"/>
  </w:num>
  <w:num w:numId="13" w16cid:durableId="993147431">
    <w:abstractNumId w:val="11"/>
  </w:num>
  <w:num w:numId="14" w16cid:durableId="1711150111">
    <w:abstractNumId w:val="4"/>
  </w:num>
  <w:num w:numId="15" w16cid:durableId="1316911883">
    <w:abstractNumId w:val="14"/>
  </w:num>
  <w:num w:numId="16" w16cid:durableId="522867078">
    <w:abstractNumId w:val="17"/>
  </w:num>
  <w:num w:numId="17" w16cid:durableId="1306937002">
    <w:abstractNumId w:val="12"/>
  </w:num>
  <w:num w:numId="18" w16cid:durableId="951941352">
    <w:abstractNumId w:val="1"/>
  </w:num>
  <w:num w:numId="19" w16cid:durableId="115489361">
    <w:abstractNumId w:val="0"/>
  </w:num>
  <w:num w:numId="20" w16cid:durableId="1247693586">
    <w:abstractNumId w:val="2"/>
  </w:num>
  <w:num w:numId="21" w16cid:durableId="646394668">
    <w:abstractNumId w:val="15"/>
  </w:num>
  <w:num w:numId="22" w16cid:durableId="1534687178">
    <w:abstractNumId w:val="7"/>
  </w:num>
  <w:num w:numId="23" w16cid:durableId="1271009434">
    <w:abstractNumId w:val="20"/>
  </w:num>
  <w:num w:numId="24" w16cid:durableId="370695471">
    <w:abstractNumId w:val="10"/>
  </w:num>
  <w:num w:numId="25" w16cid:durableId="2028871668">
    <w:abstractNumId w:val="13"/>
  </w:num>
  <w:num w:numId="26" w16cid:durableId="1789738022">
    <w:abstractNumId w:val="9"/>
  </w:num>
  <w:num w:numId="27" w16cid:durableId="142353045">
    <w:abstractNumId w:val="22"/>
  </w:num>
  <w:num w:numId="28" w16cid:durableId="138552058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10"/>
    <w:rsid w:val="00000AC3"/>
    <w:rsid w:val="000026DE"/>
    <w:rsid w:val="00002AC8"/>
    <w:rsid w:val="00003560"/>
    <w:rsid w:val="00006D59"/>
    <w:rsid w:val="0000779C"/>
    <w:rsid w:val="00011CE6"/>
    <w:rsid w:val="00017242"/>
    <w:rsid w:val="00020AB9"/>
    <w:rsid w:val="00021D05"/>
    <w:rsid w:val="00033662"/>
    <w:rsid w:val="00040090"/>
    <w:rsid w:val="00050EAD"/>
    <w:rsid w:val="00053D2E"/>
    <w:rsid w:val="00055941"/>
    <w:rsid w:val="000632F1"/>
    <w:rsid w:val="000652C8"/>
    <w:rsid w:val="000669B1"/>
    <w:rsid w:val="000746C2"/>
    <w:rsid w:val="00076AD4"/>
    <w:rsid w:val="000848DC"/>
    <w:rsid w:val="000864EF"/>
    <w:rsid w:val="00092D6F"/>
    <w:rsid w:val="00093F37"/>
    <w:rsid w:val="000954D4"/>
    <w:rsid w:val="00097096"/>
    <w:rsid w:val="000A44DA"/>
    <w:rsid w:val="000B0D23"/>
    <w:rsid w:val="000B236E"/>
    <w:rsid w:val="000B3595"/>
    <w:rsid w:val="000B4CED"/>
    <w:rsid w:val="000B79CC"/>
    <w:rsid w:val="000C32E6"/>
    <w:rsid w:val="000C45F7"/>
    <w:rsid w:val="000C463F"/>
    <w:rsid w:val="000C47BC"/>
    <w:rsid w:val="000D0A9A"/>
    <w:rsid w:val="000D249B"/>
    <w:rsid w:val="000D7288"/>
    <w:rsid w:val="000D7BCC"/>
    <w:rsid w:val="000E0F2D"/>
    <w:rsid w:val="000E1BF8"/>
    <w:rsid w:val="000E230D"/>
    <w:rsid w:val="000E57F6"/>
    <w:rsid w:val="000E74BC"/>
    <w:rsid w:val="000F1C82"/>
    <w:rsid w:val="000F602B"/>
    <w:rsid w:val="000F7B8B"/>
    <w:rsid w:val="000F7FBD"/>
    <w:rsid w:val="00100099"/>
    <w:rsid w:val="001015A3"/>
    <w:rsid w:val="001017A4"/>
    <w:rsid w:val="001040BA"/>
    <w:rsid w:val="00104743"/>
    <w:rsid w:val="00112941"/>
    <w:rsid w:val="00123338"/>
    <w:rsid w:val="001235ED"/>
    <w:rsid w:val="00123721"/>
    <w:rsid w:val="00124626"/>
    <w:rsid w:val="00132570"/>
    <w:rsid w:val="0013369B"/>
    <w:rsid w:val="0014212F"/>
    <w:rsid w:val="00142E43"/>
    <w:rsid w:val="001453DB"/>
    <w:rsid w:val="00150467"/>
    <w:rsid w:val="00150999"/>
    <w:rsid w:val="001510FB"/>
    <w:rsid w:val="00151E9D"/>
    <w:rsid w:val="00152348"/>
    <w:rsid w:val="00155115"/>
    <w:rsid w:val="00155333"/>
    <w:rsid w:val="00161696"/>
    <w:rsid w:val="00162B45"/>
    <w:rsid w:val="0016301F"/>
    <w:rsid w:val="001637B1"/>
    <w:rsid w:val="0016569D"/>
    <w:rsid w:val="00166A70"/>
    <w:rsid w:val="001672C4"/>
    <w:rsid w:val="0017603A"/>
    <w:rsid w:val="0018045A"/>
    <w:rsid w:val="00182CAE"/>
    <w:rsid w:val="0018373C"/>
    <w:rsid w:val="00187DF0"/>
    <w:rsid w:val="0019073D"/>
    <w:rsid w:val="00192C7F"/>
    <w:rsid w:val="00194489"/>
    <w:rsid w:val="00196134"/>
    <w:rsid w:val="0019627D"/>
    <w:rsid w:val="001B252E"/>
    <w:rsid w:val="001B4201"/>
    <w:rsid w:val="001B44EC"/>
    <w:rsid w:val="001B5612"/>
    <w:rsid w:val="001B5DC9"/>
    <w:rsid w:val="001B69F7"/>
    <w:rsid w:val="001C2C75"/>
    <w:rsid w:val="001C5911"/>
    <w:rsid w:val="001C6C0A"/>
    <w:rsid w:val="001E106E"/>
    <w:rsid w:val="001E222D"/>
    <w:rsid w:val="001E4D8B"/>
    <w:rsid w:val="001E63D2"/>
    <w:rsid w:val="001E657A"/>
    <w:rsid w:val="001E74BC"/>
    <w:rsid w:val="001F7596"/>
    <w:rsid w:val="0020032B"/>
    <w:rsid w:val="002078F2"/>
    <w:rsid w:val="00210DD4"/>
    <w:rsid w:val="00217B04"/>
    <w:rsid w:val="00224AC7"/>
    <w:rsid w:val="002359A7"/>
    <w:rsid w:val="0023754A"/>
    <w:rsid w:val="00241D46"/>
    <w:rsid w:val="00247DCC"/>
    <w:rsid w:val="002515D7"/>
    <w:rsid w:val="0025471E"/>
    <w:rsid w:val="00254CF3"/>
    <w:rsid w:val="002556D2"/>
    <w:rsid w:val="0025612D"/>
    <w:rsid w:val="002621EA"/>
    <w:rsid w:val="0026235D"/>
    <w:rsid w:val="0026247E"/>
    <w:rsid w:val="00262F4E"/>
    <w:rsid w:val="00264EDD"/>
    <w:rsid w:val="00265575"/>
    <w:rsid w:val="00266BCC"/>
    <w:rsid w:val="002713DF"/>
    <w:rsid w:val="002744D7"/>
    <w:rsid w:val="00276121"/>
    <w:rsid w:val="00277570"/>
    <w:rsid w:val="00284A4A"/>
    <w:rsid w:val="00292649"/>
    <w:rsid w:val="002A18C7"/>
    <w:rsid w:val="002A505F"/>
    <w:rsid w:val="002A6048"/>
    <w:rsid w:val="002B0BE7"/>
    <w:rsid w:val="002B2C75"/>
    <w:rsid w:val="002B392E"/>
    <w:rsid w:val="002B3E2F"/>
    <w:rsid w:val="002B681B"/>
    <w:rsid w:val="002B6CEE"/>
    <w:rsid w:val="002B6E0F"/>
    <w:rsid w:val="002B7FDA"/>
    <w:rsid w:val="002C168E"/>
    <w:rsid w:val="002C2E70"/>
    <w:rsid w:val="002C345E"/>
    <w:rsid w:val="002C4570"/>
    <w:rsid w:val="002C53F6"/>
    <w:rsid w:val="002C5C3A"/>
    <w:rsid w:val="002D5900"/>
    <w:rsid w:val="002D6630"/>
    <w:rsid w:val="002E0323"/>
    <w:rsid w:val="002E2D12"/>
    <w:rsid w:val="002E3ACF"/>
    <w:rsid w:val="002E4747"/>
    <w:rsid w:val="002E49DD"/>
    <w:rsid w:val="002E6800"/>
    <w:rsid w:val="002F0653"/>
    <w:rsid w:val="002F2F64"/>
    <w:rsid w:val="002F3164"/>
    <w:rsid w:val="0030070D"/>
    <w:rsid w:val="0030220D"/>
    <w:rsid w:val="003037BC"/>
    <w:rsid w:val="00305D38"/>
    <w:rsid w:val="0031484D"/>
    <w:rsid w:val="0031665A"/>
    <w:rsid w:val="00317245"/>
    <w:rsid w:val="003218A9"/>
    <w:rsid w:val="003264F9"/>
    <w:rsid w:val="00326874"/>
    <w:rsid w:val="00334C9B"/>
    <w:rsid w:val="00334FF8"/>
    <w:rsid w:val="00337B74"/>
    <w:rsid w:val="003447E6"/>
    <w:rsid w:val="00346A1D"/>
    <w:rsid w:val="00350F1D"/>
    <w:rsid w:val="00363ABD"/>
    <w:rsid w:val="003648DF"/>
    <w:rsid w:val="00371BB1"/>
    <w:rsid w:val="003776B3"/>
    <w:rsid w:val="00377ED5"/>
    <w:rsid w:val="00380DF4"/>
    <w:rsid w:val="003851FB"/>
    <w:rsid w:val="00390DBF"/>
    <w:rsid w:val="00390FAC"/>
    <w:rsid w:val="00391F83"/>
    <w:rsid w:val="003921B2"/>
    <w:rsid w:val="003933EC"/>
    <w:rsid w:val="00393CF9"/>
    <w:rsid w:val="00394718"/>
    <w:rsid w:val="00397C76"/>
    <w:rsid w:val="003A0D31"/>
    <w:rsid w:val="003B2B3E"/>
    <w:rsid w:val="003B3EFB"/>
    <w:rsid w:val="003B4052"/>
    <w:rsid w:val="003B4523"/>
    <w:rsid w:val="003B486B"/>
    <w:rsid w:val="003B56F4"/>
    <w:rsid w:val="003B68FD"/>
    <w:rsid w:val="003B69C4"/>
    <w:rsid w:val="003C2E38"/>
    <w:rsid w:val="003C3FB9"/>
    <w:rsid w:val="003C4A7A"/>
    <w:rsid w:val="003D15E5"/>
    <w:rsid w:val="003D488B"/>
    <w:rsid w:val="003D4E85"/>
    <w:rsid w:val="003D6C16"/>
    <w:rsid w:val="003E229E"/>
    <w:rsid w:val="003E48C1"/>
    <w:rsid w:val="003E502B"/>
    <w:rsid w:val="003E68FC"/>
    <w:rsid w:val="003F243F"/>
    <w:rsid w:val="003F3FD4"/>
    <w:rsid w:val="003F5431"/>
    <w:rsid w:val="003F6BB8"/>
    <w:rsid w:val="00406054"/>
    <w:rsid w:val="0041629E"/>
    <w:rsid w:val="00417948"/>
    <w:rsid w:val="00427A12"/>
    <w:rsid w:val="0043259E"/>
    <w:rsid w:val="0043647C"/>
    <w:rsid w:val="00437B87"/>
    <w:rsid w:val="00441ADC"/>
    <w:rsid w:val="00453F44"/>
    <w:rsid w:val="00454768"/>
    <w:rsid w:val="004551A7"/>
    <w:rsid w:val="0046370D"/>
    <w:rsid w:val="00465298"/>
    <w:rsid w:val="00476D63"/>
    <w:rsid w:val="004830EF"/>
    <w:rsid w:val="004834DC"/>
    <w:rsid w:val="00483711"/>
    <w:rsid w:val="00486397"/>
    <w:rsid w:val="00487BFC"/>
    <w:rsid w:val="00492C19"/>
    <w:rsid w:val="004A20E1"/>
    <w:rsid w:val="004A71C0"/>
    <w:rsid w:val="004A7B84"/>
    <w:rsid w:val="004B37B7"/>
    <w:rsid w:val="004C05F2"/>
    <w:rsid w:val="004C270D"/>
    <w:rsid w:val="004C3D36"/>
    <w:rsid w:val="004C5937"/>
    <w:rsid w:val="004C5C25"/>
    <w:rsid w:val="004D2029"/>
    <w:rsid w:val="004D42C7"/>
    <w:rsid w:val="004D475F"/>
    <w:rsid w:val="004D55C6"/>
    <w:rsid w:val="004D5D94"/>
    <w:rsid w:val="004D6BBB"/>
    <w:rsid w:val="004E53F5"/>
    <w:rsid w:val="004E6646"/>
    <w:rsid w:val="004E7EE2"/>
    <w:rsid w:val="004F0C36"/>
    <w:rsid w:val="004F240C"/>
    <w:rsid w:val="004F4AC0"/>
    <w:rsid w:val="005020E6"/>
    <w:rsid w:val="005025D2"/>
    <w:rsid w:val="00506340"/>
    <w:rsid w:val="00506A9C"/>
    <w:rsid w:val="005100A9"/>
    <w:rsid w:val="005144F2"/>
    <w:rsid w:val="00521554"/>
    <w:rsid w:val="00522E41"/>
    <w:rsid w:val="00523FE1"/>
    <w:rsid w:val="0053455F"/>
    <w:rsid w:val="00534A0F"/>
    <w:rsid w:val="00535CB6"/>
    <w:rsid w:val="00536650"/>
    <w:rsid w:val="00551BDF"/>
    <w:rsid w:val="00555EE4"/>
    <w:rsid w:val="0057365E"/>
    <w:rsid w:val="00574F7D"/>
    <w:rsid w:val="0058121E"/>
    <w:rsid w:val="0058215C"/>
    <w:rsid w:val="0059047D"/>
    <w:rsid w:val="00591BC3"/>
    <w:rsid w:val="005A256A"/>
    <w:rsid w:val="005B280A"/>
    <w:rsid w:val="005B7CB8"/>
    <w:rsid w:val="005C143A"/>
    <w:rsid w:val="005C162B"/>
    <w:rsid w:val="005C1CEF"/>
    <w:rsid w:val="005C364B"/>
    <w:rsid w:val="005C473B"/>
    <w:rsid w:val="005D152D"/>
    <w:rsid w:val="005D284B"/>
    <w:rsid w:val="005E1299"/>
    <w:rsid w:val="005E3014"/>
    <w:rsid w:val="005E318C"/>
    <w:rsid w:val="005E5D03"/>
    <w:rsid w:val="005F066A"/>
    <w:rsid w:val="005F1509"/>
    <w:rsid w:val="005F24EA"/>
    <w:rsid w:val="005F378A"/>
    <w:rsid w:val="005F546B"/>
    <w:rsid w:val="005F5A5A"/>
    <w:rsid w:val="005F60C4"/>
    <w:rsid w:val="005F6CF9"/>
    <w:rsid w:val="00601DFD"/>
    <w:rsid w:val="0060454B"/>
    <w:rsid w:val="006055D5"/>
    <w:rsid w:val="0060643A"/>
    <w:rsid w:val="00606E58"/>
    <w:rsid w:val="00610395"/>
    <w:rsid w:val="006133F3"/>
    <w:rsid w:val="00615002"/>
    <w:rsid w:val="0061533C"/>
    <w:rsid w:val="0061633C"/>
    <w:rsid w:val="00617C05"/>
    <w:rsid w:val="00620637"/>
    <w:rsid w:val="00627983"/>
    <w:rsid w:val="00627E56"/>
    <w:rsid w:val="00630AC1"/>
    <w:rsid w:val="0063249E"/>
    <w:rsid w:val="00632610"/>
    <w:rsid w:val="00635032"/>
    <w:rsid w:val="006360B2"/>
    <w:rsid w:val="0063672E"/>
    <w:rsid w:val="0064522F"/>
    <w:rsid w:val="006453C0"/>
    <w:rsid w:val="00645513"/>
    <w:rsid w:val="00647129"/>
    <w:rsid w:val="00654334"/>
    <w:rsid w:val="006547A8"/>
    <w:rsid w:val="00660ED4"/>
    <w:rsid w:val="0066189B"/>
    <w:rsid w:val="006622C5"/>
    <w:rsid w:val="00663131"/>
    <w:rsid w:val="006640BC"/>
    <w:rsid w:val="00670371"/>
    <w:rsid w:val="00672EAA"/>
    <w:rsid w:val="006806A7"/>
    <w:rsid w:val="0069320A"/>
    <w:rsid w:val="006A07DB"/>
    <w:rsid w:val="006A0BA5"/>
    <w:rsid w:val="006A21AC"/>
    <w:rsid w:val="006A2D59"/>
    <w:rsid w:val="006A3CF6"/>
    <w:rsid w:val="006A65F6"/>
    <w:rsid w:val="006B199B"/>
    <w:rsid w:val="006B3F5B"/>
    <w:rsid w:val="006B45DD"/>
    <w:rsid w:val="006B50EE"/>
    <w:rsid w:val="006B6974"/>
    <w:rsid w:val="006C04F7"/>
    <w:rsid w:val="006C56F3"/>
    <w:rsid w:val="006C705B"/>
    <w:rsid w:val="006C7661"/>
    <w:rsid w:val="006D01E8"/>
    <w:rsid w:val="006D25EE"/>
    <w:rsid w:val="006D5F05"/>
    <w:rsid w:val="006E15BB"/>
    <w:rsid w:val="006E46F0"/>
    <w:rsid w:val="006E62E1"/>
    <w:rsid w:val="006F2C64"/>
    <w:rsid w:val="006F35F3"/>
    <w:rsid w:val="006F5AEB"/>
    <w:rsid w:val="006F7B20"/>
    <w:rsid w:val="007013CD"/>
    <w:rsid w:val="00702822"/>
    <w:rsid w:val="007065ED"/>
    <w:rsid w:val="00711091"/>
    <w:rsid w:val="00711902"/>
    <w:rsid w:val="00713F9D"/>
    <w:rsid w:val="00714954"/>
    <w:rsid w:val="0071645B"/>
    <w:rsid w:val="00720C62"/>
    <w:rsid w:val="007267A9"/>
    <w:rsid w:val="00727730"/>
    <w:rsid w:val="0073100F"/>
    <w:rsid w:val="00734291"/>
    <w:rsid w:val="007342FB"/>
    <w:rsid w:val="00736FE7"/>
    <w:rsid w:val="00740011"/>
    <w:rsid w:val="00740CC9"/>
    <w:rsid w:val="00741782"/>
    <w:rsid w:val="007502BA"/>
    <w:rsid w:val="007555B6"/>
    <w:rsid w:val="00757AC3"/>
    <w:rsid w:val="007639CA"/>
    <w:rsid w:val="00776A42"/>
    <w:rsid w:val="007827BB"/>
    <w:rsid w:val="0078731D"/>
    <w:rsid w:val="00795750"/>
    <w:rsid w:val="00797D95"/>
    <w:rsid w:val="007A02FF"/>
    <w:rsid w:val="007A0C66"/>
    <w:rsid w:val="007A0D13"/>
    <w:rsid w:val="007B3172"/>
    <w:rsid w:val="007B3E7C"/>
    <w:rsid w:val="007B48E7"/>
    <w:rsid w:val="007B683E"/>
    <w:rsid w:val="007B7596"/>
    <w:rsid w:val="007C1CFE"/>
    <w:rsid w:val="007C3A61"/>
    <w:rsid w:val="007C7550"/>
    <w:rsid w:val="007D0A08"/>
    <w:rsid w:val="007D5E2E"/>
    <w:rsid w:val="007D655E"/>
    <w:rsid w:val="007E16DF"/>
    <w:rsid w:val="007E2DC4"/>
    <w:rsid w:val="007E2F97"/>
    <w:rsid w:val="007E4686"/>
    <w:rsid w:val="007E54F5"/>
    <w:rsid w:val="007E59A2"/>
    <w:rsid w:val="007E5FE3"/>
    <w:rsid w:val="007E6F36"/>
    <w:rsid w:val="007F3110"/>
    <w:rsid w:val="007F4D7B"/>
    <w:rsid w:val="007F5F5A"/>
    <w:rsid w:val="00800BC6"/>
    <w:rsid w:val="00801AF1"/>
    <w:rsid w:val="00806B42"/>
    <w:rsid w:val="00821A9F"/>
    <w:rsid w:val="00824A6D"/>
    <w:rsid w:val="00825ECC"/>
    <w:rsid w:val="00842833"/>
    <w:rsid w:val="00844D5E"/>
    <w:rsid w:val="008459B4"/>
    <w:rsid w:val="008468D1"/>
    <w:rsid w:val="00847455"/>
    <w:rsid w:val="0085174E"/>
    <w:rsid w:val="00852651"/>
    <w:rsid w:val="0085507E"/>
    <w:rsid w:val="00855146"/>
    <w:rsid w:val="0086115E"/>
    <w:rsid w:val="00866A77"/>
    <w:rsid w:val="008674B7"/>
    <w:rsid w:val="00867BEE"/>
    <w:rsid w:val="008733FA"/>
    <w:rsid w:val="00876E82"/>
    <w:rsid w:val="00881E15"/>
    <w:rsid w:val="00883EDE"/>
    <w:rsid w:val="00892708"/>
    <w:rsid w:val="00893126"/>
    <w:rsid w:val="00894777"/>
    <w:rsid w:val="00897C2C"/>
    <w:rsid w:val="00897C6E"/>
    <w:rsid w:val="008A3904"/>
    <w:rsid w:val="008A65E8"/>
    <w:rsid w:val="008B28A7"/>
    <w:rsid w:val="008B3A96"/>
    <w:rsid w:val="008B490C"/>
    <w:rsid w:val="008B688D"/>
    <w:rsid w:val="008B746E"/>
    <w:rsid w:val="008C3E27"/>
    <w:rsid w:val="008C4BEE"/>
    <w:rsid w:val="008C66E2"/>
    <w:rsid w:val="008C6910"/>
    <w:rsid w:val="008D2F74"/>
    <w:rsid w:val="008D43FA"/>
    <w:rsid w:val="008E539D"/>
    <w:rsid w:val="008E63B5"/>
    <w:rsid w:val="008E754B"/>
    <w:rsid w:val="008F1B69"/>
    <w:rsid w:val="008F2CBE"/>
    <w:rsid w:val="008F5459"/>
    <w:rsid w:val="008F76DC"/>
    <w:rsid w:val="0090411C"/>
    <w:rsid w:val="009151AE"/>
    <w:rsid w:val="00917E97"/>
    <w:rsid w:val="00925FE0"/>
    <w:rsid w:val="00927120"/>
    <w:rsid w:val="00927F5F"/>
    <w:rsid w:val="00937CFD"/>
    <w:rsid w:val="00941265"/>
    <w:rsid w:val="009447C4"/>
    <w:rsid w:val="00945C47"/>
    <w:rsid w:val="009504A4"/>
    <w:rsid w:val="009514A2"/>
    <w:rsid w:val="00951E14"/>
    <w:rsid w:val="00952B22"/>
    <w:rsid w:val="00953653"/>
    <w:rsid w:val="00954F25"/>
    <w:rsid w:val="00957E80"/>
    <w:rsid w:val="009601AD"/>
    <w:rsid w:val="0096076A"/>
    <w:rsid w:val="00961A43"/>
    <w:rsid w:val="009638B9"/>
    <w:rsid w:val="00963C8B"/>
    <w:rsid w:val="0096520A"/>
    <w:rsid w:val="00966DA9"/>
    <w:rsid w:val="009700ED"/>
    <w:rsid w:val="009715CE"/>
    <w:rsid w:val="009729FA"/>
    <w:rsid w:val="009740AB"/>
    <w:rsid w:val="00974B0E"/>
    <w:rsid w:val="00974EF2"/>
    <w:rsid w:val="00983A83"/>
    <w:rsid w:val="00987BCC"/>
    <w:rsid w:val="00992252"/>
    <w:rsid w:val="00994002"/>
    <w:rsid w:val="009A3DEB"/>
    <w:rsid w:val="009A4387"/>
    <w:rsid w:val="009B4554"/>
    <w:rsid w:val="009B73A2"/>
    <w:rsid w:val="009B7790"/>
    <w:rsid w:val="009B79F4"/>
    <w:rsid w:val="009C00D9"/>
    <w:rsid w:val="009C0900"/>
    <w:rsid w:val="009C1111"/>
    <w:rsid w:val="009C26E3"/>
    <w:rsid w:val="009C6AAE"/>
    <w:rsid w:val="009D0365"/>
    <w:rsid w:val="009D3282"/>
    <w:rsid w:val="009D33AB"/>
    <w:rsid w:val="009D57E2"/>
    <w:rsid w:val="009D6476"/>
    <w:rsid w:val="009D6B5A"/>
    <w:rsid w:val="009D7022"/>
    <w:rsid w:val="009E00E4"/>
    <w:rsid w:val="009E4438"/>
    <w:rsid w:val="009E7AC2"/>
    <w:rsid w:val="009F2A50"/>
    <w:rsid w:val="009F6C9C"/>
    <w:rsid w:val="009F76E8"/>
    <w:rsid w:val="00A04ED9"/>
    <w:rsid w:val="00A052F4"/>
    <w:rsid w:val="00A05937"/>
    <w:rsid w:val="00A0617C"/>
    <w:rsid w:val="00A061D6"/>
    <w:rsid w:val="00A07CC7"/>
    <w:rsid w:val="00A10F85"/>
    <w:rsid w:val="00A11282"/>
    <w:rsid w:val="00A13DD1"/>
    <w:rsid w:val="00A1417F"/>
    <w:rsid w:val="00A14EEF"/>
    <w:rsid w:val="00A16639"/>
    <w:rsid w:val="00A21985"/>
    <w:rsid w:val="00A24A6A"/>
    <w:rsid w:val="00A264D8"/>
    <w:rsid w:val="00A3012B"/>
    <w:rsid w:val="00A309F0"/>
    <w:rsid w:val="00A32C0C"/>
    <w:rsid w:val="00A33BD7"/>
    <w:rsid w:val="00A35057"/>
    <w:rsid w:val="00A36562"/>
    <w:rsid w:val="00A409E2"/>
    <w:rsid w:val="00A40BBD"/>
    <w:rsid w:val="00A44FDE"/>
    <w:rsid w:val="00A452D1"/>
    <w:rsid w:val="00A46EFF"/>
    <w:rsid w:val="00A5139E"/>
    <w:rsid w:val="00A51474"/>
    <w:rsid w:val="00A5176F"/>
    <w:rsid w:val="00A54B51"/>
    <w:rsid w:val="00A610C5"/>
    <w:rsid w:val="00A61A9E"/>
    <w:rsid w:val="00A64BBC"/>
    <w:rsid w:val="00A65145"/>
    <w:rsid w:val="00A659A6"/>
    <w:rsid w:val="00A65F6F"/>
    <w:rsid w:val="00A72E18"/>
    <w:rsid w:val="00A74D8B"/>
    <w:rsid w:val="00A76AE3"/>
    <w:rsid w:val="00A832E4"/>
    <w:rsid w:val="00A8377E"/>
    <w:rsid w:val="00A83F6B"/>
    <w:rsid w:val="00A86DCD"/>
    <w:rsid w:val="00A87994"/>
    <w:rsid w:val="00A907CE"/>
    <w:rsid w:val="00A9290B"/>
    <w:rsid w:val="00A93B17"/>
    <w:rsid w:val="00A9445E"/>
    <w:rsid w:val="00A95871"/>
    <w:rsid w:val="00A96E2A"/>
    <w:rsid w:val="00AA0855"/>
    <w:rsid w:val="00AA1053"/>
    <w:rsid w:val="00AA3A2F"/>
    <w:rsid w:val="00AA3CE5"/>
    <w:rsid w:val="00AA51D3"/>
    <w:rsid w:val="00AA5A56"/>
    <w:rsid w:val="00AA5EF8"/>
    <w:rsid w:val="00AA7414"/>
    <w:rsid w:val="00AB1313"/>
    <w:rsid w:val="00AB6298"/>
    <w:rsid w:val="00AB65DF"/>
    <w:rsid w:val="00AC27A9"/>
    <w:rsid w:val="00AC37E3"/>
    <w:rsid w:val="00AD0DAB"/>
    <w:rsid w:val="00AD3941"/>
    <w:rsid w:val="00AE0B9E"/>
    <w:rsid w:val="00AF54BD"/>
    <w:rsid w:val="00AF5826"/>
    <w:rsid w:val="00B009AE"/>
    <w:rsid w:val="00B01274"/>
    <w:rsid w:val="00B113A2"/>
    <w:rsid w:val="00B1187F"/>
    <w:rsid w:val="00B14478"/>
    <w:rsid w:val="00B20EF4"/>
    <w:rsid w:val="00B24129"/>
    <w:rsid w:val="00B25080"/>
    <w:rsid w:val="00B30695"/>
    <w:rsid w:val="00B33A7A"/>
    <w:rsid w:val="00B340D1"/>
    <w:rsid w:val="00B507E6"/>
    <w:rsid w:val="00B50C76"/>
    <w:rsid w:val="00B705FB"/>
    <w:rsid w:val="00B70DAA"/>
    <w:rsid w:val="00B71A62"/>
    <w:rsid w:val="00B73702"/>
    <w:rsid w:val="00B7561F"/>
    <w:rsid w:val="00B817DB"/>
    <w:rsid w:val="00B876F1"/>
    <w:rsid w:val="00B87CE8"/>
    <w:rsid w:val="00B92A08"/>
    <w:rsid w:val="00B92CED"/>
    <w:rsid w:val="00B96167"/>
    <w:rsid w:val="00B96870"/>
    <w:rsid w:val="00B975E7"/>
    <w:rsid w:val="00B97CC0"/>
    <w:rsid w:val="00BA28EC"/>
    <w:rsid w:val="00BA3FAB"/>
    <w:rsid w:val="00BA4778"/>
    <w:rsid w:val="00BA5FB1"/>
    <w:rsid w:val="00BA7C15"/>
    <w:rsid w:val="00BC48FC"/>
    <w:rsid w:val="00BC497D"/>
    <w:rsid w:val="00BC7F7E"/>
    <w:rsid w:val="00BD1DB3"/>
    <w:rsid w:val="00BD27FD"/>
    <w:rsid w:val="00BD3168"/>
    <w:rsid w:val="00BD388A"/>
    <w:rsid w:val="00BD44C6"/>
    <w:rsid w:val="00BD65C8"/>
    <w:rsid w:val="00BD6D84"/>
    <w:rsid w:val="00BE5A27"/>
    <w:rsid w:val="00BF54FF"/>
    <w:rsid w:val="00BF72AB"/>
    <w:rsid w:val="00C00CF2"/>
    <w:rsid w:val="00C03BA1"/>
    <w:rsid w:val="00C107E3"/>
    <w:rsid w:val="00C12449"/>
    <w:rsid w:val="00C12A49"/>
    <w:rsid w:val="00C267E1"/>
    <w:rsid w:val="00C305FD"/>
    <w:rsid w:val="00C3094C"/>
    <w:rsid w:val="00C337D2"/>
    <w:rsid w:val="00C41D93"/>
    <w:rsid w:val="00C42C15"/>
    <w:rsid w:val="00C44D9A"/>
    <w:rsid w:val="00C4602C"/>
    <w:rsid w:val="00C474E8"/>
    <w:rsid w:val="00C56FC4"/>
    <w:rsid w:val="00C6012C"/>
    <w:rsid w:val="00C64302"/>
    <w:rsid w:val="00C6729F"/>
    <w:rsid w:val="00C70FB9"/>
    <w:rsid w:val="00C75069"/>
    <w:rsid w:val="00C81258"/>
    <w:rsid w:val="00C820D6"/>
    <w:rsid w:val="00C8639C"/>
    <w:rsid w:val="00C86BA1"/>
    <w:rsid w:val="00C901C5"/>
    <w:rsid w:val="00C93AC2"/>
    <w:rsid w:val="00C947CE"/>
    <w:rsid w:val="00C94898"/>
    <w:rsid w:val="00C94AE3"/>
    <w:rsid w:val="00C95AC3"/>
    <w:rsid w:val="00CA10F6"/>
    <w:rsid w:val="00CA65CB"/>
    <w:rsid w:val="00CA71C8"/>
    <w:rsid w:val="00CB00B8"/>
    <w:rsid w:val="00CB67DC"/>
    <w:rsid w:val="00CB79FA"/>
    <w:rsid w:val="00CC1DA2"/>
    <w:rsid w:val="00CC58AF"/>
    <w:rsid w:val="00CC67F2"/>
    <w:rsid w:val="00CD07B0"/>
    <w:rsid w:val="00CD31B6"/>
    <w:rsid w:val="00CD4ACD"/>
    <w:rsid w:val="00CD5402"/>
    <w:rsid w:val="00CD6814"/>
    <w:rsid w:val="00CD799C"/>
    <w:rsid w:val="00CD7D40"/>
    <w:rsid w:val="00CE0153"/>
    <w:rsid w:val="00CE1E63"/>
    <w:rsid w:val="00CE7517"/>
    <w:rsid w:val="00CE7A6F"/>
    <w:rsid w:val="00CF0AEF"/>
    <w:rsid w:val="00CF0FB3"/>
    <w:rsid w:val="00CF5437"/>
    <w:rsid w:val="00D0188E"/>
    <w:rsid w:val="00D02102"/>
    <w:rsid w:val="00D028D2"/>
    <w:rsid w:val="00D05CE8"/>
    <w:rsid w:val="00D10D20"/>
    <w:rsid w:val="00D1275A"/>
    <w:rsid w:val="00D17F34"/>
    <w:rsid w:val="00D259A7"/>
    <w:rsid w:val="00D25B5D"/>
    <w:rsid w:val="00D2732C"/>
    <w:rsid w:val="00D2745C"/>
    <w:rsid w:val="00D27E93"/>
    <w:rsid w:val="00D33D88"/>
    <w:rsid w:val="00D40663"/>
    <w:rsid w:val="00D44047"/>
    <w:rsid w:val="00D44D92"/>
    <w:rsid w:val="00D50F2F"/>
    <w:rsid w:val="00D51ED9"/>
    <w:rsid w:val="00D52A12"/>
    <w:rsid w:val="00D5424A"/>
    <w:rsid w:val="00D61FD7"/>
    <w:rsid w:val="00D63969"/>
    <w:rsid w:val="00D67481"/>
    <w:rsid w:val="00D7358A"/>
    <w:rsid w:val="00D74BCA"/>
    <w:rsid w:val="00D75A60"/>
    <w:rsid w:val="00D75B3C"/>
    <w:rsid w:val="00D76549"/>
    <w:rsid w:val="00D814C3"/>
    <w:rsid w:val="00D85A06"/>
    <w:rsid w:val="00D92AFF"/>
    <w:rsid w:val="00D93544"/>
    <w:rsid w:val="00D95644"/>
    <w:rsid w:val="00D96F7F"/>
    <w:rsid w:val="00DA226F"/>
    <w:rsid w:val="00DA3000"/>
    <w:rsid w:val="00DA3C0D"/>
    <w:rsid w:val="00DA3E0B"/>
    <w:rsid w:val="00DB2EEC"/>
    <w:rsid w:val="00DB6E41"/>
    <w:rsid w:val="00DB7DD5"/>
    <w:rsid w:val="00DC13DE"/>
    <w:rsid w:val="00DC35A3"/>
    <w:rsid w:val="00DD1BDA"/>
    <w:rsid w:val="00DD6B31"/>
    <w:rsid w:val="00DD6D36"/>
    <w:rsid w:val="00DD76D5"/>
    <w:rsid w:val="00DE04BA"/>
    <w:rsid w:val="00DE5F17"/>
    <w:rsid w:val="00DF3EA4"/>
    <w:rsid w:val="00DF7156"/>
    <w:rsid w:val="00E027B8"/>
    <w:rsid w:val="00E05E86"/>
    <w:rsid w:val="00E063BF"/>
    <w:rsid w:val="00E07910"/>
    <w:rsid w:val="00E12E85"/>
    <w:rsid w:val="00E153ED"/>
    <w:rsid w:val="00E161C5"/>
    <w:rsid w:val="00E20FE5"/>
    <w:rsid w:val="00E21143"/>
    <w:rsid w:val="00E2425C"/>
    <w:rsid w:val="00E26665"/>
    <w:rsid w:val="00E301FD"/>
    <w:rsid w:val="00E32BAE"/>
    <w:rsid w:val="00E3564E"/>
    <w:rsid w:val="00E378AB"/>
    <w:rsid w:val="00E41516"/>
    <w:rsid w:val="00E42F66"/>
    <w:rsid w:val="00E46434"/>
    <w:rsid w:val="00E46691"/>
    <w:rsid w:val="00E50164"/>
    <w:rsid w:val="00E52623"/>
    <w:rsid w:val="00E56A06"/>
    <w:rsid w:val="00E57122"/>
    <w:rsid w:val="00E662F3"/>
    <w:rsid w:val="00E66FF9"/>
    <w:rsid w:val="00E70BFF"/>
    <w:rsid w:val="00E72850"/>
    <w:rsid w:val="00E80A67"/>
    <w:rsid w:val="00E83785"/>
    <w:rsid w:val="00E87461"/>
    <w:rsid w:val="00E87894"/>
    <w:rsid w:val="00E93FE9"/>
    <w:rsid w:val="00E97C66"/>
    <w:rsid w:val="00EA54FD"/>
    <w:rsid w:val="00EB0598"/>
    <w:rsid w:val="00EB05C7"/>
    <w:rsid w:val="00EB2071"/>
    <w:rsid w:val="00EB270B"/>
    <w:rsid w:val="00EC2804"/>
    <w:rsid w:val="00EC49D4"/>
    <w:rsid w:val="00EC6BB4"/>
    <w:rsid w:val="00EC78C2"/>
    <w:rsid w:val="00ED11CA"/>
    <w:rsid w:val="00ED1387"/>
    <w:rsid w:val="00ED57B4"/>
    <w:rsid w:val="00EE1760"/>
    <w:rsid w:val="00EE19A8"/>
    <w:rsid w:val="00EE21F7"/>
    <w:rsid w:val="00EE3F21"/>
    <w:rsid w:val="00EE55DA"/>
    <w:rsid w:val="00EE57E1"/>
    <w:rsid w:val="00EF11B9"/>
    <w:rsid w:val="00F012E3"/>
    <w:rsid w:val="00F03D92"/>
    <w:rsid w:val="00F04766"/>
    <w:rsid w:val="00F12A0D"/>
    <w:rsid w:val="00F147E4"/>
    <w:rsid w:val="00F240CB"/>
    <w:rsid w:val="00F24F8E"/>
    <w:rsid w:val="00F267B9"/>
    <w:rsid w:val="00F27CA6"/>
    <w:rsid w:val="00F30B93"/>
    <w:rsid w:val="00F323F0"/>
    <w:rsid w:val="00F36B6E"/>
    <w:rsid w:val="00F4086D"/>
    <w:rsid w:val="00F411A8"/>
    <w:rsid w:val="00F41400"/>
    <w:rsid w:val="00F4269F"/>
    <w:rsid w:val="00F427E4"/>
    <w:rsid w:val="00F4522E"/>
    <w:rsid w:val="00F45646"/>
    <w:rsid w:val="00F45CA7"/>
    <w:rsid w:val="00F4605B"/>
    <w:rsid w:val="00F47C49"/>
    <w:rsid w:val="00F50E99"/>
    <w:rsid w:val="00F54304"/>
    <w:rsid w:val="00F55886"/>
    <w:rsid w:val="00F60687"/>
    <w:rsid w:val="00F673CC"/>
    <w:rsid w:val="00F70A6A"/>
    <w:rsid w:val="00F73F9C"/>
    <w:rsid w:val="00F74FF6"/>
    <w:rsid w:val="00F75C0B"/>
    <w:rsid w:val="00F76E26"/>
    <w:rsid w:val="00F8441C"/>
    <w:rsid w:val="00F84BBB"/>
    <w:rsid w:val="00F91360"/>
    <w:rsid w:val="00F921B6"/>
    <w:rsid w:val="00F953B9"/>
    <w:rsid w:val="00F9600B"/>
    <w:rsid w:val="00FA0724"/>
    <w:rsid w:val="00FA1421"/>
    <w:rsid w:val="00FA19E7"/>
    <w:rsid w:val="00FB583B"/>
    <w:rsid w:val="00FC0FE7"/>
    <w:rsid w:val="00FD05F7"/>
    <w:rsid w:val="00FD1405"/>
    <w:rsid w:val="00FD3653"/>
    <w:rsid w:val="00FD4845"/>
    <w:rsid w:val="00FD5EAC"/>
    <w:rsid w:val="00FD7601"/>
    <w:rsid w:val="00FE03B8"/>
    <w:rsid w:val="00FE5736"/>
    <w:rsid w:val="00FF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506C3"/>
  <w14:defaultImageDpi w14:val="32767"/>
  <w15:chartTrackingRefBased/>
  <w15:docId w15:val="{BD41CCE9-6B04-473F-847C-9BF95614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39" w:qFormat="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0"/>
    <w:pPr>
      <w:spacing w:after="120"/>
      <w:ind w:right="994"/>
    </w:pPr>
    <w:rPr>
      <w:rFonts w:eastAsiaTheme="minorEastAsia"/>
      <w:color w:val="00B050"/>
      <w:sz w:val="18"/>
    </w:rPr>
  </w:style>
  <w:style w:type="paragraph" w:styleId="Heading1">
    <w:name w:val="heading 1"/>
    <w:next w:val="Bodycopy"/>
    <w:link w:val="Heading1Char"/>
    <w:uiPriority w:val="7"/>
    <w:qFormat/>
    <w:pPr>
      <w:keepNext/>
      <w:spacing w:before="480" w:after="240"/>
      <w:outlineLvl w:val="0"/>
    </w:pPr>
    <w:rPr>
      <w:rFonts w:asciiTheme="majorHAnsi" w:eastAsiaTheme="majorEastAsia" w:hAnsiTheme="majorHAnsi" w:cstheme="majorBidi"/>
      <w:b/>
      <w:color w:val="79BDE8" w:themeColor="background2"/>
      <w:sz w:val="28"/>
      <w:szCs w:val="32"/>
    </w:rPr>
  </w:style>
  <w:style w:type="paragraph" w:styleId="Heading2">
    <w:name w:val="heading 2"/>
    <w:next w:val="Bodycopy"/>
    <w:link w:val="Heading2Char"/>
    <w:uiPriority w:val="7"/>
    <w:qFormat/>
    <w:pPr>
      <w:keepNext/>
      <w:keepLines/>
      <w:spacing w:before="240" w:after="120"/>
      <w:outlineLvl w:val="1"/>
    </w:pPr>
    <w:rPr>
      <w:rFonts w:asciiTheme="majorHAnsi" w:eastAsiaTheme="majorEastAsia" w:hAnsiTheme="majorHAnsi" w:cstheme="majorBidi"/>
      <w:b/>
      <w:color w:val="000000" w:themeColor="text1"/>
      <w:szCs w:val="26"/>
    </w:rPr>
  </w:style>
  <w:style w:type="paragraph" w:styleId="Heading3">
    <w:name w:val="heading 3"/>
    <w:next w:val="Bodycopy"/>
    <w:link w:val="Heading3Char"/>
    <w:uiPriority w:val="7"/>
    <w:qFormat/>
    <w:pPr>
      <w:keepNext/>
      <w:keepLines/>
      <w:spacing w:before="240" w:after="80"/>
      <w:outlineLvl w:val="2"/>
    </w:pPr>
    <w:rPr>
      <w:rFonts w:asciiTheme="majorHAnsi" w:eastAsiaTheme="majorEastAsia" w:hAnsiTheme="majorHAnsi" w:cstheme="majorBidi"/>
      <w:b/>
      <w:color w:val="79BDE8" w:themeColor="background2"/>
      <w:sz w:val="21"/>
    </w:rPr>
  </w:style>
  <w:style w:type="paragraph" w:styleId="Heading4">
    <w:name w:val="heading 4"/>
    <w:next w:val="Bodycopy"/>
    <w:link w:val="Heading4Char"/>
    <w:uiPriority w:val="7"/>
    <w:qFormat/>
    <w:pPr>
      <w:keepNext/>
      <w:keepLines/>
      <w:spacing w:before="240" w:after="80"/>
      <w:outlineLvl w:val="3"/>
    </w:pPr>
    <w:rPr>
      <w:rFonts w:asciiTheme="majorHAnsi" w:eastAsiaTheme="majorEastAsia" w:hAnsiTheme="majorHAnsi" w:cstheme="majorBidi"/>
      <w:b/>
      <w:iCs/>
      <w:color w:val="000000" w:themeColor="text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pPr>
      <w:pBdr>
        <w:top w:val="single" w:sz="4" w:space="6" w:color="000000" w:themeColor="text1"/>
      </w:pBdr>
      <w:tabs>
        <w:tab w:val="center" w:pos="4680"/>
        <w:tab w:val="right" w:pos="9360"/>
      </w:tabs>
    </w:pPr>
    <w:rPr>
      <w:rFonts w:eastAsiaTheme="minorEastAsia"/>
      <w:color w:val="000000" w:themeColor="text1"/>
      <w:sz w:val="18"/>
    </w:rPr>
  </w:style>
  <w:style w:type="character" w:customStyle="1" w:styleId="HeaderChar">
    <w:name w:val="Header Char"/>
    <w:basedOn w:val="DefaultParagraphFont"/>
    <w:link w:val="Header"/>
    <w:uiPriority w:val="99"/>
    <w:rPr>
      <w:rFonts w:eastAsiaTheme="minorEastAsia"/>
      <w:color w:val="000000" w:themeColor="text1"/>
      <w:sz w:val="18"/>
    </w:rPr>
  </w:style>
  <w:style w:type="paragraph" w:styleId="Footer">
    <w:name w:val="footer"/>
    <w:link w:val="FooterChar"/>
    <w:uiPriority w:val="99"/>
    <w:unhideWhenUsed/>
    <w:pPr>
      <w:pBdr>
        <w:top w:val="single" w:sz="4" w:space="15" w:color="000000" w:themeColor="text1"/>
      </w:pBdr>
      <w:tabs>
        <w:tab w:val="right" w:pos="10620"/>
      </w:tabs>
    </w:pPr>
    <w:rPr>
      <w:rFonts w:eastAsiaTheme="minorEastAsia"/>
      <w:color w:val="000000" w:themeColor="text1"/>
      <w:sz w:val="18"/>
    </w:rPr>
  </w:style>
  <w:style w:type="character" w:customStyle="1" w:styleId="FooterChar">
    <w:name w:val="Footer Char"/>
    <w:basedOn w:val="DefaultParagraphFont"/>
    <w:link w:val="Footer"/>
    <w:uiPriority w:val="99"/>
    <w:rPr>
      <w:rFonts w:eastAsiaTheme="minorEastAsia"/>
      <w:color w:val="000000" w:themeColor="text1"/>
      <w:sz w:val="18"/>
    </w:rPr>
  </w:style>
  <w:style w:type="character" w:customStyle="1" w:styleId="Heading1Char">
    <w:name w:val="Heading 1 Char"/>
    <w:basedOn w:val="DefaultParagraphFont"/>
    <w:link w:val="Heading1"/>
    <w:uiPriority w:val="7"/>
    <w:rPr>
      <w:rFonts w:asciiTheme="majorHAnsi" w:eastAsiaTheme="majorEastAsia" w:hAnsiTheme="majorHAnsi" w:cstheme="majorBidi"/>
      <w:b/>
      <w:color w:val="79BDE8" w:themeColor="background2"/>
      <w:sz w:val="28"/>
      <w:szCs w:val="32"/>
    </w:rPr>
  </w:style>
  <w:style w:type="paragraph" w:styleId="BalloonText">
    <w:name w:val="Balloon Text"/>
    <w:basedOn w:val="Normal"/>
    <w:link w:val="BalloonTextChar"/>
    <w:uiPriority w:val="99"/>
    <w:semiHidden/>
    <w:unhideWhenUsed/>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eastAsiaTheme="minorEastAsia" w:hAnsi="Segoe UI" w:cs="Segoe UI"/>
      <w:sz w:val="18"/>
      <w:szCs w:val="18"/>
    </w:rPr>
  </w:style>
  <w:style w:type="character" w:customStyle="1" w:styleId="Heading2Char">
    <w:name w:val="Heading 2 Char"/>
    <w:basedOn w:val="DefaultParagraphFont"/>
    <w:link w:val="Heading2"/>
    <w:uiPriority w:val="7"/>
    <w:rPr>
      <w:rFonts w:asciiTheme="majorHAnsi" w:eastAsiaTheme="majorEastAsia" w:hAnsiTheme="majorHAnsi" w:cstheme="majorBidi"/>
      <w:b/>
      <w:color w:val="000000" w:themeColor="text1"/>
      <w:szCs w:val="26"/>
    </w:r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79BDE8" w:themeColor="background2"/>
      <w:sz w:val="21"/>
    </w:rPr>
  </w:style>
  <w:style w:type="table" w:styleId="TableGrid">
    <w:name w:val="Table Grid"/>
    <w:basedOn w:val="TableNormal"/>
    <w:uiPriority w:val="59"/>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opy">
    <w:name w:val="Body copy"/>
    <w:uiPriority w:val="8"/>
    <w:qFormat/>
    <w:pPr>
      <w:spacing w:after="120"/>
    </w:pPr>
    <w:rPr>
      <w:rFonts w:eastAsia="Calibri" w:cs="Times New Roman"/>
      <w:color w:val="000000" w:themeColor="text1"/>
      <w:sz w:val="18"/>
      <w:szCs w:val="18"/>
    </w:rPr>
  </w:style>
  <w:style w:type="paragraph" w:customStyle="1" w:styleId="Tablegraphintrocopy">
    <w:name w:val="Table/graph intro copy"/>
    <w:basedOn w:val="Tablecopy"/>
    <w:uiPriority w:val="13"/>
    <w:qFormat/>
    <w:pPr>
      <w:spacing w:before="120" w:after="120"/>
    </w:pPr>
    <w:rPr>
      <w:rFonts w:eastAsia="Times New Roman"/>
      <w:sz w:val="16"/>
      <w:szCs w:val="20"/>
    </w:rPr>
  </w:style>
  <w:style w:type="paragraph" w:customStyle="1" w:styleId="Introcopy">
    <w:name w:val="Intro copy"/>
    <w:next w:val="Bodycopy"/>
    <w:uiPriority w:val="6"/>
    <w:qFormat/>
    <w:rsid w:val="007B683E"/>
    <w:pPr>
      <w:spacing w:after="240"/>
    </w:pPr>
    <w:rPr>
      <w:rFonts w:eastAsia="Calibri" w:cs="Times New Roman"/>
      <w:color w:val="000000" w:themeColor="text1"/>
      <w:szCs w:val="18"/>
    </w:rPr>
  </w:style>
  <w:style w:type="paragraph" w:customStyle="1" w:styleId="Authorinfo">
    <w:name w:val="Author info"/>
    <w:uiPriority w:val="5"/>
    <w:pPr>
      <w:spacing w:after="120"/>
    </w:pPr>
    <w:rPr>
      <w:rFonts w:eastAsia="Times New Roman" w:cs="Times New Roman"/>
      <w:color w:val="000000" w:themeColor="text1"/>
      <w:sz w:val="18"/>
      <w:szCs w:val="20"/>
    </w:rPr>
  </w:style>
  <w:style w:type="paragraph" w:styleId="TOCHeading">
    <w:name w:val="TOC Heading"/>
    <w:next w:val="Normal"/>
    <w:uiPriority w:val="39"/>
    <w:semiHidden/>
    <w:pPr>
      <w:keepLines/>
      <w:spacing w:before="240"/>
      <w:ind w:right="994"/>
    </w:pPr>
    <w:rPr>
      <w:rFonts w:asciiTheme="majorHAnsi" w:eastAsiaTheme="majorEastAsia" w:hAnsiTheme="majorHAnsi" w:cstheme="majorBidi"/>
      <w:color w:val="C65C09" w:themeColor="accent1" w:themeShade="BF"/>
      <w:sz w:val="32"/>
      <w:szCs w:val="32"/>
    </w:rPr>
  </w:style>
  <w:style w:type="table" w:customStyle="1" w:styleId="RPtable1">
    <w:name w:val="RP table1"/>
    <w:basedOn w:val="TableNormal"/>
    <w:uiPriority w:val="99"/>
    <w:rPr>
      <w:color w:val="000000" w:themeColor="text1"/>
      <w:sz w:val="14"/>
    </w:rPr>
    <w:tblPr>
      <w:tblBorders>
        <w:top w:val="single" w:sz="2" w:space="0" w:color="000000" w:themeColor="text1"/>
        <w:bottom w:val="single" w:sz="2" w:space="0" w:color="000000" w:themeColor="text1"/>
        <w:insideH w:val="single" w:sz="2" w:space="0" w:color="000000" w:themeColor="text1"/>
      </w:tblBorders>
      <w:tblCellMar>
        <w:top w:w="40" w:type="dxa"/>
        <w:left w:w="0" w:type="dxa"/>
        <w:bottom w:w="40" w:type="dxa"/>
        <w:right w:w="115" w:type="dxa"/>
      </w:tblCellMar>
    </w:tblPr>
    <w:trPr>
      <w:cantSplit/>
    </w:trPr>
    <w:tblStylePr w:type="firstRow">
      <w:rPr>
        <w:b/>
        <w:i w:val="0"/>
        <w:caps/>
        <w:smallCaps w:val="0"/>
        <w:strike w:val="0"/>
        <w:dstrike w:val="0"/>
        <w:vanish w:val="0"/>
        <w:vertAlign w:val="baseline"/>
      </w:rPr>
      <w:tblPr/>
      <w:tcPr>
        <w:tcBorders>
          <w:top w:val="single" w:sz="36" w:space="0" w:color="000000" w:themeColor="text1"/>
          <w:left w:val="nil"/>
          <w:bottom w:val="single" w:sz="36" w:space="0" w:color="000000" w:themeColor="text1"/>
          <w:right w:val="nil"/>
          <w:insideH w:val="nil"/>
          <w:insideV w:val="nil"/>
          <w:tl2br w:val="nil"/>
          <w:tr2bl w:val="nil"/>
        </w:tcBorders>
        <w:shd w:val="clear" w:color="auto" w:fill="DEDFDF" w:themeFill="text2" w:themeFillTint="33"/>
      </w:tcPr>
    </w:tblStylePr>
    <w:tblStylePr w:type="lastRow">
      <w:rPr>
        <w:b/>
      </w:rPr>
      <w:tblPr/>
      <w:tcPr>
        <w:tcBorders>
          <w:top w:val="single" w:sz="12" w:space="0" w:color="000000" w:themeColor="text1"/>
          <w:left w:val="nil"/>
          <w:bottom w:val="single" w:sz="12" w:space="0" w:color="000000" w:themeColor="text1"/>
          <w:right w:val="nil"/>
          <w:insideH w:val="nil"/>
          <w:insideV w:val="nil"/>
          <w:tl2br w:val="nil"/>
          <w:tr2bl w:val="nil"/>
        </w:tcBorders>
        <w:shd w:val="clear" w:color="auto" w:fill="F2F2F2" w:themeFill="background1" w:themeFillShade="F2"/>
      </w:tcPr>
    </w:tblStylePr>
    <w:tblStylePr w:type="firstCol">
      <w:rPr>
        <w:b/>
      </w:rPr>
    </w:tblStylePr>
  </w:style>
  <w:style w:type="paragraph" w:customStyle="1" w:styleId="Tablegraphtitle">
    <w:name w:val="Table/graph title"/>
    <w:next w:val="Tablegraphintrocopy"/>
    <w:uiPriority w:val="12"/>
    <w:qFormat/>
    <w:pPr>
      <w:keepNext/>
      <w:tabs>
        <w:tab w:val="left" w:pos="288"/>
      </w:tabs>
      <w:spacing w:before="480"/>
    </w:pPr>
    <w:rPr>
      <w:rFonts w:eastAsia="Times New Roman" w:cs="Times New Roman"/>
      <w:b/>
      <w:bCs/>
      <w:color w:val="79BDE8" w:themeColor="background2"/>
      <w:sz w:val="20"/>
      <w:szCs w:val="20"/>
    </w:rPr>
  </w:style>
  <w:style w:type="paragraph" w:customStyle="1" w:styleId="Tablegraphsource">
    <w:name w:val="Table/graph source"/>
    <w:basedOn w:val="Tablecopy"/>
    <w:next w:val="Bodycopy"/>
    <w:uiPriority w:val="15"/>
    <w:qFormat/>
    <w:pPr>
      <w:keepNext w:val="0"/>
      <w:spacing w:before="120" w:after="240"/>
    </w:pPr>
  </w:style>
  <w:style w:type="paragraph" w:customStyle="1" w:styleId="TablegraphNOSOURCE">
    <w:name w:val="Table/graph NO SOURCE"/>
    <w:basedOn w:val="Tablegraphsource"/>
    <w:next w:val="Bodycopy"/>
    <w:uiPriority w:val="16"/>
    <w:qFormat/>
    <w:pPr>
      <w:spacing w:before="0" w:after="120"/>
    </w:pPr>
    <w:rPr>
      <w:rFonts w:eastAsia="Times New Roman"/>
      <w:szCs w:val="20"/>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ntedtablecopy">
    <w:name w:val="Tinted table copy"/>
    <w:uiPriority w:val="11"/>
    <w:pPr>
      <w:keepNext/>
      <w:spacing w:after="120"/>
    </w:pPr>
    <w:rPr>
      <w:rFonts w:eastAsia="Calibri" w:cs="Times New Roman"/>
      <w:color w:val="000000" w:themeColor="text1"/>
      <w:szCs w:val="18"/>
    </w:rPr>
  </w:style>
  <w:style w:type="paragraph" w:customStyle="1" w:styleId="Coverfooter">
    <w:name w:val="Cover footer"/>
    <w:uiPriority w:val="19"/>
    <w:pPr>
      <w:tabs>
        <w:tab w:val="right" w:pos="10350"/>
      </w:tabs>
      <w:spacing w:after="480"/>
      <w:ind w:left="360" w:right="-2934"/>
    </w:pPr>
    <w:rPr>
      <w:rFonts w:eastAsiaTheme="minorEastAsia"/>
      <w:color w:val="FFFFFF" w:themeColor="background1"/>
      <w:sz w:val="20"/>
    </w:rPr>
  </w:style>
  <w:style w:type="paragraph" w:customStyle="1" w:styleId="Documenttype">
    <w:name w:val="Document type"/>
    <w:uiPriority w:val="2"/>
    <w:pPr>
      <w:spacing w:before="280"/>
      <w:ind w:left="1354"/>
    </w:pPr>
    <w:rPr>
      <w:rFonts w:eastAsiaTheme="minorEastAsia"/>
      <w:color w:val="FFFFFF" w:themeColor="background1"/>
      <w:sz w:val="20"/>
    </w:rPr>
  </w:style>
  <w:style w:type="character" w:customStyle="1" w:styleId="Heading4Char">
    <w:name w:val="Heading 4 Char"/>
    <w:basedOn w:val="DefaultParagraphFont"/>
    <w:link w:val="Heading4"/>
    <w:uiPriority w:val="7"/>
    <w:rPr>
      <w:rFonts w:asciiTheme="majorHAnsi" w:eastAsiaTheme="majorEastAsia" w:hAnsiTheme="majorHAnsi" w:cstheme="majorBidi"/>
      <w:b/>
      <w:iCs/>
      <w:color w:val="000000" w:themeColor="text1"/>
      <w:sz w:val="18"/>
    </w:rPr>
  </w:style>
  <w:style w:type="paragraph" w:customStyle="1" w:styleId="Calloutboxcopy">
    <w:name w:val="Callout box copy"/>
    <w:uiPriority w:val="9"/>
    <w:pPr>
      <w:keepNext/>
      <w:spacing w:before="120" w:after="120"/>
      <w:ind w:left="144" w:right="144"/>
    </w:pPr>
    <w:rPr>
      <w:rFonts w:eastAsia="Times New Roman" w:cs="Times New Roman"/>
      <w:i/>
      <w:iCs/>
      <w:color w:val="000000" w:themeColor="text1"/>
      <w:sz w:val="25"/>
      <w:szCs w:val="20"/>
    </w:rPr>
  </w:style>
  <w:style w:type="paragraph" w:customStyle="1" w:styleId="Heading1NOspacebefore">
    <w:name w:val="Heading 1 NO space before"/>
    <w:basedOn w:val="Heading1"/>
    <w:next w:val="Bodycopy"/>
    <w:uiPriority w:val="7"/>
    <w:qFormat/>
    <w:pPr>
      <w:spacing w:before="0"/>
    </w:pPr>
    <w:rPr>
      <w:rFonts w:eastAsia="Times New Roman" w:cs="Times New Roman"/>
      <w:szCs w:val="20"/>
    </w:rPr>
  </w:style>
  <w:style w:type="paragraph" w:customStyle="1" w:styleId="Docsubtitle">
    <w:name w:val="Doc subtitle"/>
    <w:next w:val="Documenttype"/>
    <w:uiPriority w:val="1"/>
    <w:pPr>
      <w:spacing w:after="320"/>
      <w:ind w:left="1354"/>
    </w:pPr>
    <w:rPr>
      <w:rFonts w:asciiTheme="majorHAnsi" w:eastAsia="Calibri" w:hAnsiTheme="majorHAnsi" w:cs="Times New Roman"/>
      <w:color w:val="79BDE8" w:themeColor="background2"/>
      <w:sz w:val="28"/>
      <w:szCs w:val="18"/>
    </w:rPr>
  </w:style>
  <w:style w:type="character" w:styleId="Hyperlink">
    <w:name w:val="Hyperlink"/>
    <w:basedOn w:val="DefaultParagraphFont"/>
    <w:uiPriority w:val="99"/>
    <w:rPr>
      <w:color w:val="000000" w:themeColor="hyperlink"/>
      <w:u w:val="single"/>
    </w:rPr>
  </w:style>
  <w:style w:type="paragraph" w:customStyle="1" w:styleId="Doctitlewhite">
    <w:name w:val="Doc title white"/>
    <w:next w:val="Docsubtitle"/>
    <w:rsid w:val="00C267E1"/>
    <w:pPr>
      <w:spacing w:after="280" w:line="560" w:lineRule="exact"/>
      <w:ind w:left="1354"/>
    </w:pPr>
    <w:rPr>
      <w:rFonts w:asciiTheme="majorHAnsi" w:eastAsia="Calibri" w:hAnsiTheme="majorHAnsi" w:cs="Times New Roman"/>
      <w:b/>
      <w:color w:val="FFFFFF" w:themeColor="background1"/>
      <w:sz w:val="40"/>
      <w:szCs w:val="18"/>
    </w:rPr>
  </w:style>
  <w:style w:type="paragraph" w:customStyle="1" w:styleId="Introheading">
    <w:name w:val="Intro heading"/>
    <w:next w:val="Introcopy"/>
    <w:uiPriority w:val="5"/>
    <w:qFormat/>
    <w:pPr>
      <w:keepNext/>
      <w:spacing w:before="360" w:after="240"/>
    </w:pPr>
    <w:rPr>
      <w:rFonts w:asciiTheme="majorHAnsi" w:eastAsia="Calibri" w:hAnsiTheme="majorHAnsi" w:cs="Times New Roman"/>
      <w:color w:val="79BDE8" w:themeColor="background2"/>
      <w:sz w:val="28"/>
      <w:szCs w:val="18"/>
    </w:rPr>
  </w:style>
  <w:style w:type="paragraph" w:customStyle="1" w:styleId="ContentsTitle">
    <w:name w:val="Contents/Title"/>
    <w:next w:val="Bodycopy"/>
    <w:uiPriority w:val="3"/>
    <w:pPr>
      <w:spacing w:after="480"/>
    </w:pPr>
    <w:rPr>
      <w:rFonts w:asciiTheme="majorHAnsi" w:eastAsia="Times New Roman" w:hAnsiTheme="majorHAnsi" w:cs="Times New Roman"/>
      <w:b/>
      <w:color w:val="79BDE8" w:themeColor="background2"/>
      <w:sz w:val="48"/>
      <w:szCs w:val="20"/>
    </w:rPr>
  </w:style>
  <w:style w:type="paragraph" w:styleId="TOC1">
    <w:name w:val="toc 1"/>
    <w:next w:val="Bodycopy"/>
    <w:uiPriority w:val="39"/>
    <w:pPr>
      <w:tabs>
        <w:tab w:val="right" w:pos="4680"/>
      </w:tabs>
      <w:spacing w:after="360"/>
      <w:ind w:right="7056"/>
    </w:pPr>
    <w:rPr>
      <w:rFonts w:ascii="Arial" w:eastAsia="Calibri" w:hAnsi="Arial" w:cs="Times New Roman"/>
      <w:noProof/>
      <w:color w:val="000000" w:themeColor="text1"/>
      <w:sz w:val="28"/>
      <w:szCs w:val="18"/>
    </w:rPr>
  </w:style>
  <w:style w:type="paragraph" w:customStyle="1" w:styleId="Contentsbiotitle">
    <w:name w:val="Contents bio title"/>
    <w:uiPriority w:val="4"/>
    <w:pPr>
      <w:keepNext/>
    </w:pPr>
    <w:rPr>
      <w:rFonts w:eastAsia="Calibri" w:cs="Times New Roman"/>
      <w:color w:val="000000" w:themeColor="text1"/>
      <w:sz w:val="18"/>
      <w:szCs w:val="18"/>
    </w:rPr>
  </w:style>
  <w:style w:type="paragraph" w:customStyle="1" w:styleId="Contentsbioname">
    <w:name w:val="Contents bio name"/>
    <w:basedOn w:val="Contentsbiotitle"/>
    <w:next w:val="Contentsbiotitle"/>
    <w:uiPriority w:val="4"/>
    <w:pPr>
      <w:spacing w:after="120"/>
    </w:pPr>
    <w:rPr>
      <w:b/>
      <w:sz w:val="24"/>
    </w:rPr>
  </w:style>
  <w:style w:type="paragraph" w:styleId="FootnoteText">
    <w:name w:val="footnote text"/>
    <w:link w:val="FootnoteTextChar"/>
    <w:uiPriority w:val="99"/>
    <w:unhideWhenUsed/>
    <w:pPr>
      <w:ind w:left="86" w:hanging="86"/>
    </w:pPr>
    <w:rPr>
      <w:rFonts w:eastAsiaTheme="minorEastAsia"/>
      <w:color w:val="000000" w:themeColor="text1"/>
      <w:sz w:val="14"/>
      <w:szCs w:val="20"/>
    </w:rPr>
  </w:style>
  <w:style w:type="character" w:customStyle="1" w:styleId="FootnoteTextChar">
    <w:name w:val="Footnote Text Char"/>
    <w:basedOn w:val="DefaultParagraphFont"/>
    <w:link w:val="FootnoteText"/>
    <w:uiPriority w:val="99"/>
    <w:rPr>
      <w:rFonts w:eastAsiaTheme="minorEastAsia"/>
      <w:color w:val="000000" w:themeColor="text1"/>
      <w:sz w:val="14"/>
      <w:szCs w:val="20"/>
    </w:rPr>
  </w:style>
  <w:style w:type="character" w:styleId="FootnoteReference">
    <w:name w:val="footnote reference"/>
    <w:basedOn w:val="DefaultParagraphFont"/>
    <w:uiPriority w:val="99"/>
    <w:semiHidden/>
    <w:unhideWhenUsed/>
    <w:rPr>
      <w:vertAlign w:val="superscript"/>
    </w:rPr>
  </w:style>
  <w:style w:type="paragraph" w:customStyle="1" w:styleId="Back-hdgsnotinTOC">
    <w:name w:val="Back - hdgs not in TOC"/>
    <w:basedOn w:val="Bodycopy"/>
    <w:uiPriority w:val="17"/>
    <w:pPr>
      <w:spacing w:before="600" w:after="240"/>
      <w:ind w:left="360" w:right="396"/>
    </w:pPr>
    <w:rPr>
      <w:rFonts w:eastAsia="Times New Roman"/>
      <w:b/>
      <w:bCs/>
      <w:color w:val="79BDE8" w:themeColor="background2"/>
      <w:sz w:val="28"/>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customStyle="1" w:styleId="Tablecopy">
    <w:name w:val="Table copy"/>
    <w:uiPriority w:val="14"/>
    <w:qFormat/>
    <w:pPr>
      <w:keepNext/>
      <w:spacing w:before="60" w:after="60"/>
      <w:ind w:right="144"/>
    </w:pPr>
    <w:rPr>
      <w:rFonts w:eastAsia="Calibri" w:cs="Times New Roman"/>
      <w:color w:val="000000" w:themeColor="text1"/>
      <w:spacing w:val="2"/>
      <w:sz w:val="14"/>
      <w:szCs w:val="18"/>
    </w:rPr>
  </w:style>
  <w:style w:type="character" w:customStyle="1" w:styleId="CommentTextChar">
    <w:name w:val="Comment Text Char"/>
    <w:basedOn w:val="DefaultParagraphFont"/>
    <w:link w:val="CommentText"/>
    <w:uiPriority w:val="99"/>
    <w:rPr>
      <w:rFonts w:eastAsiaTheme="minorEastAsia"/>
      <w:color w:val="00B05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color w:val="00B050"/>
      <w:sz w:val="20"/>
      <w:szCs w:val="20"/>
    </w:rPr>
  </w:style>
  <w:style w:type="character" w:customStyle="1" w:styleId="Back-copyboldcolorCHAR">
    <w:name w:val="Back - copy bold + color CHAR"/>
    <w:basedOn w:val="DefaultParagraphFont"/>
    <w:uiPriority w:val="18"/>
    <w:rPr>
      <w:b/>
      <w:color w:val="79BDE8" w:themeColor="background2"/>
    </w:rPr>
  </w:style>
  <w:style w:type="paragraph" w:styleId="Revision">
    <w:name w:val="Revision"/>
    <w:hidden/>
    <w:uiPriority w:val="99"/>
    <w:semiHidden/>
    <w:rPr>
      <w:rFonts w:eastAsiaTheme="minorEastAsia"/>
      <w:color w:val="00B050"/>
      <w:sz w:val="18"/>
    </w:rPr>
  </w:style>
  <w:style w:type="paragraph" w:customStyle="1" w:styleId="Pulloutcopy">
    <w:name w:val="Pullout copy"/>
    <w:uiPriority w:val="10"/>
    <w:pPr>
      <w:keepNext/>
    </w:pPr>
    <w:rPr>
      <w:rFonts w:eastAsia="Times New Roman" w:cs="Times New Roman"/>
      <w:color w:val="000000" w:themeColor="text1"/>
      <w:sz w:val="18"/>
      <w:szCs w:val="20"/>
    </w:rPr>
  </w:style>
  <w:style w:type="paragraph" w:customStyle="1" w:styleId="Pulloutfacthdg">
    <w:name w:val="Pullout fact hdg"/>
    <w:basedOn w:val="Pulloutcopy"/>
    <w:next w:val="Pulloutcopy"/>
    <w:uiPriority w:val="9"/>
    <w:pPr>
      <w:spacing w:after="120"/>
    </w:pPr>
    <w:rPr>
      <w:rFonts w:ascii="Arial" w:hAnsi="Arial"/>
      <w:b/>
      <w:bCs/>
      <w:sz w:val="20"/>
    </w:rPr>
  </w:style>
  <w:style w:type="paragraph" w:customStyle="1" w:styleId="Tintedtablehdg">
    <w:name w:val="Tinted table hdg"/>
    <w:basedOn w:val="Tintedtablecopy"/>
    <w:uiPriority w:val="10"/>
    <w:rPr>
      <w:b/>
      <w:bCs/>
    </w:rPr>
  </w:style>
  <w:style w:type="paragraph" w:customStyle="1" w:styleId="Heading2NOspacebefore">
    <w:name w:val="Heading 2 NO space before"/>
    <w:basedOn w:val="Heading2"/>
    <w:next w:val="Bodycopy"/>
    <w:uiPriority w:val="7"/>
    <w:qFormat/>
    <w:pPr>
      <w:spacing w:before="0"/>
    </w:pPr>
    <w:rPr>
      <w:rFonts w:eastAsia="Times New Roman" w:cs="Times New Roman"/>
      <w:bCs/>
      <w:szCs w:val="20"/>
    </w:rPr>
  </w:style>
  <w:style w:type="numbering" w:customStyle="1" w:styleId="Alphanumericlist">
    <w:name w:val="Alphanumeric list"/>
    <w:uiPriority w:val="99"/>
    <w:pPr>
      <w:numPr>
        <w:numId w:val="1"/>
      </w:numPr>
    </w:pPr>
  </w:style>
  <w:style w:type="numbering" w:customStyle="1" w:styleId="Bulletsymbols">
    <w:name w:val="Bullet symbols"/>
    <w:uiPriority w:val="99"/>
    <w:pPr>
      <w:numPr>
        <w:numId w:val="2"/>
      </w:numPr>
    </w:pPr>
  </w:style>
  <w:style w:type="numbering" w:customStyle="1" w:styleId="Decimaloutline">
    <w:name w:val="Decimal outline"/>
    <w:uiPriority w:val="99"/>
    <w:pPr>
      <w:numPr>
        <w:numId w:val="3"/>
      </w:numPr>
    </w:pPr>
  </w:style>
  <w:style w:type="paragraph" w:customStyle="1" w:styleId="Bulletlistcopy">
    <w:name w:val="Bullet/list copy"/>
    <w:basedOn w:val="Bodycopy"/>
    <w:uiPriority w:val="8"/>
    <w:qFormat/>
    <w:rsid w:val="009C26E3"/>
    <w:pPr>
      <w:numPr>
        <w:numId w:val="4"/>
      </w:numPr>
      <w:spacing w:line="220" w:lineRule="exact"/>
      <w:ind w:left="360"/>
    </w:pPr>
    <w:rPr>
      <w:rFonts w:eastAsia="Times New Roman"/>
      <w:szCs w:val="20"/>
    </w:rPr>
  </w:style>
  <w:style w:type="paragraph" w:customStyle="1" w:styleId="Iconintablecolumn">
    <w:name w:val="Icon in table column"/>
    <w:uiPriority w:val="12"/>
    <w:pPr>
      <w:keepNext/>
      <w:jc w:val="center"/>
    </w:pPr>
    <w:rPr>
      <w:rFonts w:eastAsia="Times New Roman" w:cs="Times New Roman"/>
      <w:color w:val="000000" w:themeColor="text1"/>
      <w:sz w:val="18"/>
      <w:szCs w:val="20"/>
    </w:rPr>
  </w:style>
  <w:style w:type="paragraph" w:customStyle="1" w:styleId="Tintedtablecopysmall">
    <w:name w:val="Tinted table copy small"/>
    <w:basedOn w:val="Tintedtablecopy"/>
    <w:uiPriority w:val="11"/>
    <w:rPr>
      <w:sz w:val="18"/>
    </w:rPr>
  </w:style>
  <w:style w:type="paragraph" w:customStyle="1" w:styleId="Tintedtablehdgsmall">
    <w:name w:val="Tinted table hdg small"/>
    <w:basedOn w:val="Tintedtablehdg"/>
    <w:uiPriority w:val="10"/>
    <w:rPr>
      <w:sz w:val="18"/>
    </w:rPr>
  </w:style>
  <w:style w:type="paragraph" w:customStyle="1" w:styleId="Tablecopyright">
    <w:name w:val="Table copy right"/>
    <w:basedOn w:val="Tablecopy"/>
    <w:uiPriority w:val="14"/>
    <w:qFormat/>
    <w:pPr>
      <w:jc w:val="right"/>
    </w:pPr>
    <w:rPr>
      <w:rFonts w:eastAsia="Times New Roman"/>
      <w:szCs w:val="20"/>
    </w:rPr>
  </w:style>
  <w:style w:type="paragraph" w:customStyle="1" w:styleId="Tintedtablelargecolumn">
    <w:name w:val="Tinted table large # column"/>
    <w:uiPriority w:val="11"/>
    <w:rPr>
      <w:rFonts w:eastAsia="Calibri" w:cs="Times New Roman"/>
      <w:b/>
      <w:bCs/>
      <w:color w:val="000000" w:themeColor="text1"/>
      <w:sz w:val="36"/>
      <w:szCs w:val="18"/>
    </w:rPr>
  </w:style>
  <w:style w:type="character" w:customStyle="1" w:styleId="TintedtablesymbolCHAR">
    <w:name w:val="Tinted table symbol CHAR"/>
    <w:basedOn w:val="DefaultParagraphFont"/>
    <w:uiPriority w:val="11"/>
    <w:rPr>
      <w:b w:val="0"/>
      <w:color w:val="000000" w:themeColor="text1"/>
      <w:sz w:val="72"/>
    </w:rPr>
  </w:style>
  <w:style w:type="paragraph" w:customStyle="1" w:styleId="Pulloutfacthdg2">
    <w:name w:val="Pullout fact hdg 2"/>
    <w:basedOn w:val="Pulloutfacthdg"/>
    <w:next w:val="Pulloutcopy"/>
    <w:uiPriority w:val="9"/>
    <w:pPr>
      <w:spacing w:after="80"/>
    </w:pPr>
    <w:rPr>
      <w:rFonts w:ascii="Arial Bold" w:hAnsi="Arial Bold"/>
      <w:caps/>
      <w:sz w:val="16"/>
    </w:rPr>
  </w:style>
  <w:style w:type="character" w:customStyle="1" w:styleId="AuthornameCHAR">
    <w:name w:val="Author name CHAR"/>
    <w:basedOn w:val="DefaultParagraphFont"/>
    <w:uiPriority w:val="5"/>
    <w:rPr>
      <w:b/>
      <w:color w:val="000000" w:themeColor="text1"/>
    </w:rPr>
  </w:style>
  <w:style w:type="paragraph" w:customStyle="1" w:styleId="TablegraphtitleNOspacebefore">
    <w:name w:val="Table/graph title NO space before"/>
    <w:basedOn w:val="Tablegraphtitle"/>
    <w:next w:val="Tablegraphintrocopy"/>
    <w:uiPriority w:val="12"/>
    <w:qFormat/>
    <w:pPr>
      <w:spacing w:before="0" w:after="120"/>
    </w:pPr>
  </w:style>
  <w:style w:type="paragraph" w:customStyle="1" w:styleId="Back-hdgsnotinTOCnoindent">
    <w:name w:val="Back - hdgs not in TOC no indent"/>
    <w:basedOn w:val="Back-hdgsnotinTOC"/>
    <w:uiPriority w:val="17"/>
    <w:pPr>
      <w:ind w:left="0"/>
    </w:pPr>
  </w:style>
  <w:style w:type="paragraph" w:styleId="EndnoteText">
    <w:name w:val="endnote text"/>
    <w:basedOn w:val="FootnoteText"/>
    <w:link w:val="EndnoteTextChar"/>
    <w:uiPriority w:val="99"/>
    <w:unhideWhenUsed/>
  </w:style>
  <w:style w:type="character" w:customStyle="1" w:styleId="EndnoteTextChar">
    <w:name w:val="Endnote Text Char"/>
    <w:basedOn w:val="DefaultParagraphFont"/>
    <w:link w:val="EndnoteText"/>
    <w:uiPriority w:val="99"/>
    <w:rPr>
      <w:rFonts w:eastAsiaTheme="minorEastAsia"/>
      <w:color w:val="000000" w:themeColor="text1"/>
      <w:sz w:val="14"/>
      <w:szCs w:val="20"/>
    </w:rPr>
  </w:style>
  <w:style w:type="character" w:styleId="EndnoteReference">
    <w:name w:val="endnote reference"/>
    <w:basedOn w:val="DefaultParagraphFont"/>
    <w:uiPriority w:val="99"/>
    <w:semiHidden/>
    <w:unhideWhenUsed/>
    <w:rPr>
      <w:vertAlign w:val="superscript"/>
    </w:rPr>
  </w:style>
  <w:style w:type="paragraph" w:customStyle="1" w:styleId="Placedelement">
    <w:name w:val="Placed element"/>
    <w:next w:val="Bodycopy"/>
    <w:uiPriority w:val="15"/>
    <w:pPr>
      <w:ind w:left="-43"/>
    </w:pPr>
    <w:rPr>
      <w:rFonts w:ascii="Arial" w:eastAsia="Times New Roman" w:hAnsi="Arial" w:cs="Times New Roman"/>
      <w:color w:val="000000" w:themeColor="text1"/>
      <w:sz w:val="16"/>
      <w:szCs w:val="20"/>
    </w:rPr>
  </w:style>
  <w:style w:type="paragraph" w:customStyle="1" w:styleId="Doctitleblack">
    <w:name w:val="Doc title black"/>
    <w:basedOn w:val="Doctitlewhite"/>
    <w:next w:val="Docsubtitle"/>
    <w:rPr>
      <w:bCs/>
      <w:color w:val="000000" w:themeColor="text1"/>
    </w:rPr>
  </w:style>
  <w:style w:type="paragraph" w:customStyle="1" w:styleId="Tablecopycentered">
    <w:name w:val="Table copy centered"/>
    <w:basedOn w:val="Tablecopy"/>
    <w:uiPriority w:val="14"/>
    <w:qFormat/>
    <w:pPr>
      <w:jc w:val="center"/>
    </w:pPr>
    <w:rPr>
      <w:rFonts w:eastAsia="Times New Roman"/>
      <w:szCs w:val="20"/>
    </w:rPr>
  </w:style>
  <w:style w:type="paragraph" w:styleId="ListParagraph">
    <w:name w:val="List Paragraph"/>
    <w:basedOn w:val="Normal"/>
    <w:uiPriority w:val="34"/>
    <w:qFormat/>
    <w:rsid w:val="00350F1D"/>
    <w:pPr>
      <w:spacing w:after="0"/>
      <w:ind w:left="720" w:right="0"/>
      <w:contextualSpacing/>
    </w:pPr>
    <w:rPr>
      <w:rFonts w:ascii="Calibri" w:eastAsiaTheme="minorHAnsi" w:hAnsi="Calibri" w:cs="Calibri"/>
      <w:color w:val="auto"/>
      <w:sz w:val="22"/>
      <w:szCs w:val="22"/>
      <w:lang w:val="en-AU"/>
    </w:rPr>
  </w:style>
  <w:style w:type="paragraph" w:customStyle="1" w:styleId="Default">
    <w:name w:val="Default"/>
    <w:rsid w:val="005F066A"/>
    <w:pPr>
      <w:autoSpaceDE w:val="0"/>
      <w:autoSpaceDN w:val="0"/>
      <w:adjustRightInd w:val="0"/>
    </w:pPr>
    <w:rPr>
      <w:rFonts w:ascii="Arial" w:hAnsi="Arial" w:cs="Arial"/>
      <w:color w:val="000000"/>
      <w:lang w:val="en-AU"/>
    </w:rPr>
  </w:style>
  <w:style w:type="character" w:styleId="UnresolvedMention">
    <w:name w:val="Unresolved Mention"/>
    <w:basedOn w:val="DefaultParagraphFont"/>
    <w:uiPriority w:val="99"/>
    <w:semiHidden/>
    <w:unhideWhenUsed/>
    <w:rsid w:val="00825ECC"/>
    <w:rPr>
      <w:color w:val="605E5C"/>
      <w:shd w:val="clear" w:color="auto" w:fill="E1DFDD"/>
    </w:rPr>
  </w:style>
  <w:style w:type="paragraph" w:styleId="NormalWeb">
    <w:name w:val="Normal (Web)"/>
    <w:basedOn w:val="Normal"/>
    <w:uiPriority w:val="99"/>
    <w:unhideWhenUsed/>
    <w:rsid w:val="003A0D31"/>
    <w:pPr>
      <w:spacing w:before="100" w:beforeAutospacing="1" w:after="100" w:afterAutospacing="1"/>
      <w:ind w:right="0"/>
    </w:pPr>
    <w:rPr>
      <w:rFonts w:ascii="Times New Roman" w:eastAsia="Times New Roman" w:hAnsi="Times New Roman" w:cs="Times New Roman"/>
      <w:color w:val="auto"/>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385225">
      <w:bodyDiv w:val="1"/>
      <w:marLeft w:val="0"/>
      <w:marRight w:val="0"/>
      <w:marTop w:val="0"/>
      <w:marBottom w:val="0"/>
      <w:divBdr>
        <w:top w:val="none" w:sz="0" w:space="0" w:color="auto"/>
        <w:left w:val="none" w:sz="0" w:space="0" w:color="auto"/>
        <w:bottom w:val="none" w:sz="0" w:space="0" w:color="auto"/>
        <w:right w:val="none" w:sz="0" w:space="0" w:color="auto"/>
      </w:divBdr>
    </w:div>
    <w:div w:id="340282684">
      <w:bodyDiv w:val="1"/>
      <w:marLeft w:val="0"/>
      <w:marRight w:val="0"/>
      <w:marTop w:val="0"/>
      <w:marBottom w:val="0"/>
      <w:divBdr>
        <w:top w:val="none" w:sz="0" w:space="0" w:color="auto"/>
        <w:left w:val="none" w:sz="0" w:space="0" w:color="auto"/>
        <w:bottom w:val="none" w:sz="0" w:space="0" w:color="auto"/>
        <w:right w:val="none" w:sz="0" w:space="0" w:color="auto"/>
      </w:divBdr>
    </w:div>
    <w:div w:id="431516326">
      <w:bodyDiv w:val="1"/>
      <w:marLeft w:val="0"/>
      <w:marRight w:val="0"/>
      <w:marTop w:val="0"/>
      <w:marBottom w:val="0"/>
      <w:divBdr>
        <w:top w:val="none" w:sz="0" w:space="0" w:color="auto"/>
        <w:left w:val="none" w:sz="0" w:space="0" w:color="auto"/>
        <w:bottom w:val="none" w:sz="0" w:space="0" w:color="auto"/>
        <w:right w:val="none" w:sz="0" w:space="0" w:color="auto"/>
      </w:divBdr>
    </w:div>
    <w:div w:id="623537633">
      <w:bodyDiv w:val="1"/>
      <w:marLeft w:val="0"/>
      <w:marRight w:val="0"/>
      <w:marTop w:val="0"/>
      <w:marBottom w:val="0"/>
      <w:divBdr>
        <w:top w:val="none" w:sz="0" w:space="0" w:color="auto"/>
        <w:left w:val="none" w:sz="0" w:space="0" w:color="auto"/>
        <w:bottom w:val="none" w:sz="0" w:space="0" w:color="auto"/>
        <w:right w:val="none" w:sz="0" w:space="0" w:color="auto"/>
      </w:divBdr>
    </w:div>
    <w:div w:id="627972102">
      <w:bodyDiv w:val="1"/>
      <w:marLeft w:val="0"/>
      <w:marRight w:val="0"/>
      <w:marTop w:val="0"/>
      <w:marBottom w:val="0"/>
      <w:divBdr>
        <w:top w:val="none" w:sz="0" w:space="0" w:color="auto"/>
        <w:left w:val="none" w:sz="0" w:space="0" w:color="auto"/>
        <w:bottom w:val="none" w:sz="0" w:space="0" w:color="auto"/>
        <w:right w:val="none" w:sz="0" w:space="0" w:color="auto"/>
      </w:divBdr>
    </w:div>
    <w:div w:id="666632427">
      <w:bodyDiv w:val="1"/>
      <w:marLeft w:val="0"/>
      <w:marRight w:val="0"/>
      <w:marTop w:val="0"/>
      <w:marBottom w:val="0"/>
      <w:divBdr>
        <w:top w:val="none" w:sz="0" w:space="0" w:color="auto"/>
        <w:left w:val="none" w:sz="0" w:space="0" w:color="auto"/>
        <w:bottom w:val="none" w:sz="0" w:space="0" w:color="auto"/>
        <w:right w:val="none" w:sz="0" w:space="0" w:color="auto"/>
      </w:divBdr>
    </w:div>
    <w:div w:id="764880609">
      <w:bodyDiv w:val="1"/>
      <w:marLeft w:val="0"/>
      <w:marRight w:val="0"/>
      <w:marTop w:val="0"/>
      <w:marBottom w:val="0"/>
      <w:divBdr>
        <w:top w:val="none" w:sz="0" w:space="0" w:color="auto"/>
        <w:left w:val="none" w:sz="0" w:space="0" w:color="auto"/>
        <w:bottom w:val="none" w:sz="0" w:space="0" w:color="auto"/>
        <w:right w:val="none" w:sz="0" w:space="0" w:color="auto"/>
      </w:divBdr>
    </w:div>
    <w:div w:id="778180791">
      <w:bodyDiv w:val="1"/>
      <w:marLeft w:val="0"/>
      <w:marRight w:val="0"/>
      <w:marTop w:val="0"/>
      <w:marBottom w:val="0"/>
      <w:divBdr>
        <w:top w:val="none" w:sz="0" w:space="0" w:color="auto"/>
        <w:left w:val="none" w:sz="0" w:space="0" w:color="auto"/>
        <w:bottom w:val="none" w:sz="0" w:space="0" w:color="auto"/>
        <w:right w:val="none" w:sz="0" w:space="0" w:color="auto"/>
      </w:divBdr>
    </w:div>
    <w:div w:id="814182441">
      <w:bodyDiv w:val="1"/>
      <w:marLeft w:val="0"/>
      <w:marRight w:val="0"/>
      <w:marTop w:val="0"/>
      <w:marBottom w:val="0"/>
      <w:divBdr>
        <w:top w:val="none" w:sz="0" w:space="0" w:color="auto"/>
        <w:left w:val="none" w:sz="0" w:space="0" w:color="auto"/>
        <w:bottom w:val="none" w:sz="0" w:space="0" w:color="auto"/>
        <w:right w:val="none" w:sz="0" w:space="0" w:color="auto"/>
      </w:divBdr>
    </w:div>
    <w:div w:id="893812647">
      <w:bodyDiv w:val="1"/>
      <w:marLeft w:val="0"/>
      <w:marRight w:val="0"/>
      <w:marTop w:val="0"/>
      <w:marBottom w:val="0"/>
      <w:divBdr>
        <w:top w:val="none" w:sz="0" w:space="0" w:color="auto"/>
        <w:left w:val="none" w:sz="0" w:space="0" w:color="auto"/>
        <w:bottom w:val="none" w:sz="0" w:space="0" w:color="auto"/>
        <w:right w:val="none" w:sz="0" w:space="0" w:color="auto"/>
      </w:divBdr>
    </w:div>
    <w:div w:id="1025524405">
      <w:bodyDiv w:val="1"/>
      <w:marLeft w:val="0"/>
      <w:marRight w:val="0"/>
      <w:marTop w:val="0"/>
      <w:marBottom w:val="0"/>
      <w:divBdr>
        <w:top w:val="none" w:sz="0" w:space="0" w:color="auto"/>
        <w:left w:val="none" w:sz="0" w:space="0" w:color="auto"/>
        <w:bottom w:val="none" w:sz="0" w:space="0" w:color="auto"/>
        <w:right w:val="none" w:sz="0" w:space="0" w:color="auto"/>
      </w:divBdr>
    </w:div>
    <w:div w:id="1300064140">
      <w:bodyDiv w:val="1"/>
      <w:marLeft w:val="0"/>
      <w:marRight w:val="0"/>
      <w:marTop w:val="0"/>
      <w:marBottom w:val="0"/>
      <w:divBdr>
        <w:top w:val="none" w:sz="0" w:space="0" w:color="auto"/>
        <w:left w:val="none" w:sz="0" w:space="0" w:color="auto"/>
        <w:bottom w:val="none" w:sz="0" w:space="0" w:color="auto"/>
        <w:right w:val="none" w:sz="0" w:space="0" w:color="auto"/>
      </w:divBdr>
    </w:div>
    <w:div w:id="1388063928">
      <w:bodyDiv w:val="1"/>
      <w:marLeft w:val="0"/>
      <w:marRight w:val="0"/>
      <w:marTop w:val="0"/>
      <w:marBottom w:val="0"/>
      <w:divBdr>
        <w:top w:val="none" w:sz="0" w:space="0" w:color="auto"/>
        <w:left w:val="none" w:sz="0" w:space="0" w:color="auto"/>
        <w:bottom w:val="none" w:sz="0" w:space="0" w:color="auto"/>
        <w:right w:val="none" w:sz="0" w:space="0" w:color="auto"/>
      </w:divBdr>
    </w:div>
    <w:div w:id="1464696191">
      <w:bodyDiv w:val="1"/>
      <w:marLeft w:val="0"/>
      <w:marRight w:val="0"/>
      <w:marTop w:val="0"/>
      <w:marBottom w:val="0"/>
      <w:divBdr>
        <w:top w:val="none" w:sz="0" w:space="0" w:color="auto"/>
        <w:left w:val="none" w:sz="0" w:space="0" w:color="auto"/>
        <w:bottom w:val="none" w:sz="0" w:space="0" w:color="auto"/>
        <w:right w:val="none" w:sz="0" w:space="0" w:color="auto"/>
      </w:divBdr>
    </w:div>
    <w:div w:id="1488402992">
      <w:bodyDiv w:val="1"/>
      <w:marLeft w:val="0"/>
      <w:marRight w:val="0"/>
      <w:marTop w:val="0"/>
      <w:marBottom w:val="0"/>
      <w:divBdr>
        <w:top w:val="none" w:sz="0" w:space="0" w:color="auto"/>
        <w:left w:val="none" w:sz="0" w:space="0" w:color="auto"/>
        <w:bottom w:val="none" w:sz="0" w:space="0" w:color="auto"/>
        <w:right w:val="none" w:sz="0" w:space="0" w:color="auto"/>
      </w:divBdr>
    </w:div>
    <w:div w:id="1494298930">
      <w:bodyDiv w:val="1"/>
      <w:marLeft w:val="0"/>
      <w:marRight w:val="0"/>
      <w:marTop w:val="0"/>
      <w:marBottom w:val="0"/>
      <w:divBdr>
        <w:top w:val="none" w:sz="0" w:space="0" w:color="auto"/>
        <w:left w:val="none" w:sz="0" w:space="0" w:color="auto"/>
        <w:bottom w:val="none" w:sz="0" w:space="0" w:color="auto"/>
        <w:right w:val="none" w:sz="0" w:space="0" w:color="auto"/>
      </w:divBdr>
    </w:div>
    <w:div w:id="1544363391">
      <w:bodyDiv w:val="1"/>
      <w:marLeft w:val="0"/>
      <w:marRight w:val="0"/>
      <w:marTop w:val="0"/>
      <w:marBottom w:val="0"/>
      <w:divBdr>
        <w:top w:val="none" w:sz="0" w:space="0" w:color="auto"/>
        <w:left w:val="none" w:sz="0" w:space="0" w:color="auto"/>
        <w:bottom w:val="none" w:sz="0" w:space="0" w:color="auto"/>
        <w:right w:val="none" w:sz="0" w:space="0" w:color="auto"/>
      </w:divBdr>
    </w:div>
    <w:div w:id="1547639155">
      <w:bodyDiv w:val="1"/>
      <w:marLeft w:val="0"/>
      <w:marRight w:val="0"/>
      <w:marTop w:val="0"/>
      <w:marBottom w:val="0"/>
      <w:divBdr>
        <w:top w:val="none" w:sz="0" w:space="0" w:color="auto"/>
        <w:left w:val="none" w:sz="0" w:space="0" w:color="auto"/>
        <w:bottom w:val="none" w:sz="0" w:space="0" w:color="auto"/>
        <w:right w:val="none" w:sz="0" w:space="0" w:color="auto"/>
      </w:divBdr>
    </w:div>
    <w:div w:id="1679697162">
      <w:bodyDiv w:val="1"/>
      <w:marLeft w:val="0"/>
      <w:marRight w:val="0"/>
      <w:marTop w:val="0"/>
      <w:marBottom w:val="0"/>
      <w:divBdr>
        <w:top w:val="none" w:sz="0" w:space="0" w:color="auto"/>
        <w:left w:val="none" w:sz="0" w:space="0" w:color="auto"/>
        <w:bottom w:val="none" w:sz="0" w:space="0" w:color="auto"/>
        <w:right w:val="none" w:sz="0" w:space="0" w:color="auto"/>
      </w:divBdr>
    </w:div>
    <w:div w:id="1904679018">
      <w:bodyDiv w:val="1"/>
      <w:marLeft w:val="0"/>
      <w:marRight w:val="0"/>
      <w:marTop w:val="0"/>
      <w:marBottom w:val="0"/>
      <w:divBdr>
        <w:top w:val="none" w:sz="0" w:space="0" w:color="auto"/>
        <w:left w:val="none" w:sz="0" w:space="0" w:color="auto"/>
        <w:bottom w:val="none" w:sz="0" w:space="0" w:color="auto"/>
        <w:right w:val="none" w:sz="0" w:space="0" w:color="auto"/>
      </w:divBdr>
    </w:div>
    <w:div w:id="1923250701">
      <w:bodyDiv w:val="1"/>
      <w:marLeft w:val="0"/>
      <w:marRight w:val="0"/>
      <w:marTop w:val="0"/>
      <w:marBottom w:val="0"/>
      <w:divBdr>
        <w:top w:val="none" w:sz="0" w:space="0" w:color="auto"/>
        <w:left w:val="none" w:sz="0" w:space="0" w:color="auto"/>
        <w:bottom w:val="none" w:sz="0" w:space="0" w:color="auto"/>
        <w:right w:val="none" w:sz="0" w:space="0" w:color="auto"/>
      </w:divBdr>
    </w:div>
    <w:div w:id="1976448864">
      <w:bodyDiv w:val="1"/>
      <w:marLeft w:val="0"/>
      <w:marRight w:val="0"/>
      <w:marTop w:val="0"/>
      <w:marBottom w:val="0"/>
      <w:divBdr>
        <w:top w:val="none" w:sz="0" w:space="0" w:color="auto"/>
        <w:left w:val="none" w:sz="0" w:space="0" w:color="auto"/>
        <w:bottom w:val="none" w:sz="0" w:space="0" w:color="auto"/>
        <w:right w:val="none" w:sz="0" w:space="0" w:color="auto"/>
      </w:divBdr>
    </w:div>
    <w:div w:id="205804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Russell Investments">
  <a:themeElements>
    <a:clrScheme name="Custom 74">
      <a:dk1>
        <a:srgbClr val="000000"/>
      </a:dk1>
      <a:lt1>
        <a:srgbClr val="FFFFFF"/>
      </a:lt1>
      <a:dk2>
        <a:srgbClr val="5F6061"/>
      </a:dk2>
      <a:lt2>
        <a:srgbClr val="79BDE8"/>
      </a:lt2>
      <a:accent1>
        <a:srgbClr val="F57E20"/>
      </a:accent1>
      <a:accent2>
        <a:srgbClr val="79BDE8"/>
      </a:accent2>
      <a:accent3>
        <a:srgbClr val="A39A93"/>
      </a:accent3>
      <a:accent4>
        <a:srgbClr val="005596"/>
      </a:accent4>
      <a:accent5>
        <a:srgbClr val="EFC163"/>
      </a:accent5>
      <a:accent6>
        <a:srgbClr val="982024"/>
      </a:accent6>
      <a:hlink>
        <a:srgbClr val="000000"/>
      </a:hlink>
      <a:folHlink>
        <a:srgbClr val="5F6061"/>
      </a:folHlink>
    </a:clrScheme>
    <a:fontScheme name="Russell Research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Russell Investments">
        <a:dk1>
          <a:srgbClr val="000000"/>
        </a:dk1>
        <a:lt1>
          <a:srgbClr val="FFFFFF"/>
        </a:lt1>
        <a:dk2>
          <a:srgbClr val="5F6061"/>
        </a:dk2>
        <a:lt2>
          <a:srgbClr val="DBD8BD"/>
        </a:lt2>
        <a:accent1>
          <a:srgbClr val="F57E20"/>
        </a:accent1>
        <a:accent2>
          <a:srgbClr val="79BDE8"/>
        </a:accent2>
        <a:accent3>
          <a:srgbClr val="A39A93"/>
        </a:accent3>
        <a:accent4>
          <a:srgbClr val="005596"/>
        </a:accent4>
        <a:accent5>
          <a:srgbClr val="982024"/>
        </a:accent5>
        <a:accent6>
          <a:srgbClr val="EFC163"/>
        </a:accent6>
        <a:hlink>
          <a:srgbClr val="000000"/>
        </a:hlink>
        <a:folHlink>
          <a:srgbClr val="000000"/>
        </a:folHlink>
      </a:clrScheme>
    </a:extraClrScheme>
  </a:extraClrSchemeLst>
  <a:custClrLst>
    <a:custClr name="Black">
      <a:srgbClr val="000000"/>
    </a:custClr>
    <a:custClr name="White">
      <a:srgbClr val="FFFFFF"/>
    </a:custClr>
    <a:custClr name="PMS 425">
      <a:srgbClr val="5F6062"/>
    </a:custClr>
    <a:custClr name="PMS 152">
      <a:srgbClr val="F57E20"/>
    </a:custClr>
    <a:custClr name="PMS 292">
      <a:srgbClr val="79BDE8"/>
    </a:custClr>
    <a:custClr name="PMS WARM GRAY 7">
      <a:srgbClr val="A49A94"/>
    </a:custClr>
    <a:custClr name="PMS 453">
      <a:srgbClr val="DBD8BD"/>
    </a:custClr>
    <a:custClr name="PMS 294">
      <a:srgbClr val="005596"/>
    </a:custClr>
    <a:custClr name="PMS 292+45k">
      <a:srgbClr val="4B7995"/>
    </a:custClr>
    <a:custClr name="PMS 292+30k">
      <a:srgbClr val="5B90B0"/>
    </a:custClr>
    <a:custClr name="PMS 292+15k">
      <a:srgbClr val="6AA6CB"/>
    </a:custClr>
    <a:custClr name="PMS 152+15k">
      <a:srgbClr val="D46E1B"/>
    </a:custClr>
    <a:custClr name="PMS WARM GRAY 7 (AT 50%)">
      <a:srgbClr val="CBC5C2"/>
    </a:custClr>
    <a:custClr name="PMS WARM GRAY 7+20k">
      <a:srgbClr val="7D746E"/>
    </a:custClr>
    <a:custClr name="PMS 453+10k">
      <a:srgbClr val="C7C5AD"/>
    </a:custClr>
    <a:custClr name="PMS 453+20k">
      <a:srgbClr val="B5B49F"/>
    </a:custClr>
    <a:custClr name="CORP DK BROWN">
      <a:srgbClr val="4E180E"/>
    </a:custClr>
    <a:custClr name="CORP MED BROWN">
      <a:srgbClr val="7C3A00"/>
    </a:custClr>
    <a:custClr name="CORP LT BROWN">
      <a:srgbClr val="AA703F"/>
    </a:custClr>
    <a:custClr name="CORP CRIMSON">
      <a:srgbClr val="982124"/>
    </a:custClr>
    <a:custClr name="CORP RED">
      <a:srgbClr val="C44F27"/>
    </a:custClr>
    <a:custClr name="CORP YELLOW">
      <a:srgbClr val="EFC163"/>
    </a:custClr>
    <a:custClr name="CORP PURPLE">
      <a:srgbClr val="582857"/>
    </a:custClr>
    <a:custClr name="CORP LT PURPLE">
      <a:srgbClr val="866781"/>
    </a:custClr>
    <a:custClr name="CORP GREEN">
      <a:srgbClr val="607653"/>
    </a:custClr>
    <a:custClr name="CORP LT GREEN">
      <a:srgbClr val="91AA88"/>
    </a:custClr>
    <a:custClr name=" ">
      <a:srgbClr val="FFFFFF"/>
    </a:custClr>
    <a:custClr name=" ">
      <a:srgbClr val="FFFFFF"/>
    </a:custClr>
    <a:custClr name=" ">
      <a:srgbClr val="FFFFFF"/>
    </a:custClr>
    <a:custClr name=" ">
      <a:srgbClr val="FFFFFF"/>
    </a:custClr>
    <a:custClr name="PMS 425 (AT 50%)">
      <a:srgbClr val="AFB0B1"/>
    </a:custClr>
    <a:custClr name="PMS 152 (AT 50%)">
      <a:srgbClr val="FABF90"/>
    </a:custClr>
    <a:custClr name="PMS 292 (AT 50%)">
      <a:srgbClr val="BCDEF4"/>
    </a:custClr>
    <a:custClr name="PMS WARM GRAY 7 (AT 50%)">
      <a:srgbClr val="CBC5C2"/>
    </a:custClr>
    <a:custClr name="PMS 453 (AT 50%)">
      <a:srgbClr val="EDECDE"/>
    </a:custClr>
    <a:custClr name="PMS 294 (AT 50%)">
      <a:srgbClr val="80AACB"/>
    </a:custClr>
    <a:custClr name="CORP DK BROWN (AT 50%)">
      <a:srgbClr val="A78C87"/>
    </a:custClr>
    <a:custClr name="CORP MED BROWN (AT 50%)">
      <a:srgbClr val="BE9D80"/>
    </a:custClr>
    <a:custClr name="CORP LT BROWN (AT 50%)">
      <a:srgbClr val="D5B89F"/>
    </a:custClr>
    <a:custClr name="CORP CRIMSON (AT 50%)">
      <a:srgbClr val="CC9092"/>
    </a:custClr>
    <a:custClr name="CORP RED (AT 50%)">
      <a:srgbClr val="E2A793"/>
    </a:custClr>
    <a:custClr name="CORP YELLOW (AT 50%)">
      <a:srgbClr val="F7E0B1"/>
    </a:custClr>
    <a:custClr name="CORP PURPLE (AT 50%)">
      <a:srgbClr val="AC94AB"/>
    </a:custClr>
    <a:custClr name="CORP LT PURPLE (AT 50%)">
      <a:srgbClr val="C3B3C0"/>
    </a:custClr>
    <a:custClr name="CORP GREEN (AT 50%)">
      <a:srgbClr val="B0BBA9"/>
    </a:custClr>
    <a:custClr name="CORP LT GREEN (AT 50%)">
      <a:srgbClr val="C8D5C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1864A86455B41B371FD6027F3FDD5" ma:contentTypeVersion="15" ma:contentTypeDescription="Create a new document." ma:contentTypeScope="" ma:versionID="45d8abefd6dd006cb9b77ae402d4c5ab">
  <xsd:schema xmlns:xsd="http://www.w3.org/2001/XMLSchema" xmlns:xs="http://www.w3.org/2001/XMLSchema" xmlns:p="http://schemas.microsoft.com/office/2006/metadata/properties" xmlns:ns2="a94dacfc-daff-4e37-b8e1-865c6503696b" xmlns:ns3="2b26f761-324f-4f64-b592-25eadf13cf48" targetNamespace="http://schemas.microsoft.com/office/2006/metadata/properties" ma:root="true" ma:fieldsID="bcbac783e8337988990251df119d47db" ns2:_="" ns3:_="">
    <xsd:import namespace="a94dacfc-daff-4e37-b8e1-865c6503696b"/>
    <xsd:import namespace="2b26f761-324f-4f64-b592-25eadf13cf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dacfc-daff-4e37-b8e1-865c65036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tatus" ma:index="20" nillable="true" ma:displayName="Status" ma:format="Dropdown" ma:internalName="Status">
      <xsd:simpleType>
        <xsd:restriction base="dms:Choice">
          <xsd:enumeration value="Not Yet Started"/>
          <xsd:enumeration value="Sent to Acuity"/>
          <xsd:enumeration value="Completed"/>
          <xsd:enumeration value="Under Review"/>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26f761-324f-4f64-b592-25eadf13cf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a94dacfc-daff-4e37-b8e1-865c6503696b" xsi:nil="true"/>
  </documentManagement>
</p:properties>
</file>

<file path=customXml/itemProps1.xml><?xml version="1.0" encoding="utf-8"?>
<ds:datastoreItem xmlns:ds="http://schemas.openxmlformats.org/officeDocument/2006/customXml" ds:itemID="{1466AB5C-B4DD-4E53-8916-EB6A27F34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dacfc-daff-4e37-b8e1-865c6503696b"/>
    <ds:schemaRef ds:uri="2b26f761-324f-4f64-b592-25eadf13c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DFAEE-EB0F-40BF-8EBF-6B403B7EFF5B}">
  <ds:schemaRefs>
    <ds:schemaRef ds:uri="http://schemas.openxmlformats.org/officeDocument/2006/bibliography"/>
  </ds:schemaRefs>
</ds:datastoreItem>
</file>

<file path=customXml/itemProps3.xml><?xml version="1.0" encoding="utf-8"?>
<ds:datastoreItem xmlns:ds="http://schemas.openxmlformats.org/officeDocument/2006/customXml" ds:itemID="{D3AAE2A4-4FAA-4FB5-813D-BE04695B754E}">
  <ds:schemaRefs>
    <ds:schemaRef ds:uri="http://schemas.microsoft.com/sharepoint/v3/contenttype/forms"/>
  </ds:schemaRefs>
</ds:datastoreItem>
</file>

<file path=customXml/itemProps4.xml><?xml version="1.0" encoding="utf-8"?>
<ds:datastoreItem xmlns:ds="http://schemas.openxmlformats.org/officeDocument/2006/customXml" ds:itemID="{13F2D599-4FFC-4427-99CA-4850154693F4}">
  <ds:schemaRefs>
    <ds:schemaRef ds:uri="http://schemas.microsoft.com/office/2006/metadata/properties"/>
    <ds:schemaRef ds:uri="http://schemas.microsoft.com/office/infopath/2007/PartnerControls"/>
    <ds:schemaRef ds:uri="a94dacfc-daff-4e37-b8e1-865c6503696b"/>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SGamage@russellinvestments.com</dc:creator>
  <cp:keywords/>
  <dc:description/>
  <cp:lastModifiedBy>Little, David</cp:lastModifiedBy>
  <cp:revision>98</cp:revision>
  <cp:lastPrinted>2022-05-03T00:46:00Z</cp:lastPrinted>
  <dcterms:created xsi:type="dcterms:W3CDTF">2024-02-07T22:27:00Z</dcterms:created>
  <dcterms:modified xsi:type="dcterms:W3CDTF">2025-08-07T20:22:00Z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0x010100CC21864A86455B41B371FD6027F3FDD5</vt:lpwstr>
  </property>
</Properties>
</file>