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body>
    <w:tbl>
      <w:tblPr>
        <w:tblStyle w:val="TableGrid"/>
        <w:tblpPr w:vertAnchor="page" w:horzAnchor="page" w:tblpYSpec="top"/>
        <w:tblOverlap w:val="never"/>
        <w:tblW w:w="12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ayout w:type="fixed"/>
        <w:tblLook w:val="0600" w:firstRow="0" w:lastRow="0" w:firstColumn="0" w:lastColumn="0" w:noHBand="1" w:noVBand="1"/>
      </w:tblPr>
      <w:tblGrid>
        <w:gridCol w:w="7655"/>
        <w:gridCol w:w="4585"/>
      </w:tblGrid>
      <w:tr w:rsidR="00CA28FE" w:rsidTr="009E7B42" w14:paraId="1C3F63C7" w14:textId="77777777">
        <w:trPr>
          <w:cantSplit/>
          <w:trHeight w:val="1008" w:hRule="exact"/>
        </w:trPr>
        <w:tc>
          <w:tcPr>
            <w:tcW w:w="12240" w:type="dxa"/>
            <w:gridSpan w:val="2"/>
            <w:shd w:val="clear" w:color="auto" w:fill="F2F2F2" w:themeFill="background1" w:themeFillShade="F2"/>
            <w:vAlign w:val="bottom"/>
          </w:tcPr>
          <w:p w:rsidRPr="0014143B" w:rsidR="00CA28FE" w:rsidP="009E7B42" w:rsidRDefault="004F35AF" w14:paraId="2B3E9DFB" w14:textId="1FF91803">
            <w:pPr>
              <w:pStyle w:val="DocType"/>
            </w:pPr>
            <w:bookmarkStart w:name="_Hlk204621855" w:id="1"/>
            <w:bookmarkStart w:name="_Hlk204526561" w:id="2"/>
            <w:r>
              <w:t>portfolio changes</w:t>
            </w:r>
          </w:p>
        </w:tc>
      </w:tr>
      <w:tr w:rsidR="00CA28FE" w:rsidTr="00BF0355" w14:paraId="0D91137D" w14:textId="77777777">
        <w:trPr>
          <w:cantSplit/>
          <w:trHeight w:val="720"/>
        </w:trPr>
        <w:tc>
          <w:tcPr>
            <w:tcW w:w="7655" w:type="dxa"/>
            <w:shd w:val="clear" w:color="auto" w:fill="F2F2F2" w:themeFill="background1" w:themeFillShade="F2"/>
          </w:tcPr>
          <w:p w:rsidRPr="004B1B75" w:rsidR="00CA28FE" w:rsidP="004B1B75" w:rsidRDefault="004F35AF" w14:paraId="46E3889B" w14:textId="3C49D71E">
            <w:pPr>
              <w:pStyle w:val="Doctitle"/>
            </w:pPr>
            <w:r>
              <w:t xml:space="preserve">Trade note: </w:t>
            </w:r>
            <w:r w:rsidR="00DB30E2">
              <w:t>Strategic Index</w:t>
            </w:r>
            <w:r>
              <w:t xml:space="preserve"> Managed Portfolios</w:t>
            </w:r>
          </w:p>
          <w:p w:rsidRPr="00807CAD" w:rsidR="002461AB" w:rsidP="009E7B42" w:rsidRDefault="00015B4A" w14:paraId="21FC8ECF" w14:textId="54E9B1DE">
            <w:pPr>
              <w:pStyle w:val="Docsubtitle"/>
            </w:pPr>
            <w:r>
              <w:t>February</w:t>
            </w:r>
            <w:r w:rsidR="00E1096F">
              <w:t xml:space="preserve"> 2026</w:t>
            </w:r>
          </w:p>
        </w:tc>
        <w:tc>
          <w:tcPr>
            <w:tcW w:w="4585" w:type="dxa"/>
            <w:shd w:val="clear" w:color="auto" w:fill="F2F2F2" w:themeFill="background1" w:themeFillShade="F2"/>
            <w:tcMar>
              <w:bottom w:w="288" w:type="dxa"/>
            </w:tcMar>
          </w:tcPr>
          <w:p w:rsidRPr="00424D46" w:rsidR="00CA28FE" w:rsidP="009E7B42" w:rsidRDefault="00CA28FE" w14:paraId="70FF4F46" w14:textId="77777777">
            <w:pPr>
              <w:pStyle w:val="Exhibitplacedelement"/>
            </w:pPr>
            <w:r>
              <w:rPr>
                <w:noProof/>
              </w:rPr>
              <w:drawing>
                <wp:inline distT="0" distB="0" distL="0" distR="0" wp14:anchorId="16934562" wp14:editId="2AD98E27">
                  <wp:extent cx="1945688" cy="490220"/>
                  <wp:effectExtent l="0" t="0" r="0" b="5080"/>
                  <wp:docPr id="23011863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18638" name="Graphic 230118638"/>
                          <pic:cNvPicPr/>
                        </pic:nvPicPr>
                        <pic:blipFill rotWithShape="1">
                          <a:blip r:embed="rId11">
                            <a:extLst>
                              <a:ext uri="{96DAC541-7B7A-43D3-8B79-37D633B846F1}">
                                <asvg:svgBlip xmlns:asvg="http://schemas.microsoft.com/office/drawing/2016/SVG/main" r:embed="rId12"/>
                              </a:ext>
                            </a:extLst>
                          </a:blip>
                          <a:srcRect l="-3072" t="-5654" r="-1555" b="-7214"/>
                          <a:stretch>
                            <a:fillRect/>
                          </a:stretch>
                        </pic:blipFill>
                        <pic:spPr bwMode="auto">
                          <a:xfrm>
                            <a:off x="0" y="0"/>
                            <a:ext cx="1947478" cy="490671"/>
                          </a:xfrm>
                          <a:prstGeom prst="rect">
                            <a:avLst/>
                          </a:prstGeom>
                          <a:ln>
                            <a:noFill/>
                          </a:ln>
                          <a:extLst>
                            <a:ext uri="{53640926-AAD7-44D8-BBD7-CCE9431645EC}">
                              <a14:shadowObscured xmlns:a14="http://schemas.microsoft.com/office/drawing/2010/main"/>
                            </a:ext>
                          </a:extLst>
                        </pic:spPr>
                      </pic:pic>
                    </a:graphicData>
                  </a:graphic>
                </wp:inline>
              </w:drawing>
            </w:r>
          </w:p>
        </w:tc>
      </w:tr>
      <w:bookmarkEnd w:id="1"/>
    </w:tbl>
    <w:tbl>
      <w:tblPr>
        <w:tblStyle w:val="TableGridLight"/>
        <w:tblW w:w="9639" w:type="dxa"/>
        <w:shd w:val="clear" w:color="auto" w:fill="FCFCFC" w:themeFill="background2" w:themeFillTint="33"/>
        <w:tblLayout w:type="fixed"/>
        <w:tblCellMar>
          <w:top w:w="360" w:type="dxa"/>
          <w:left w:w="360" w:type="dxa"/>
          <w:right w:w="360" w:type="dxa"/>
        </w:tblCellMar>
        <w:tblLook w:val="0600" w:firstRow="0" w:lastRow="0" w:firstColumn="0" w:lastColumn="0" w:noHBand="1" w:noVBand="1"/>
      </w:tblPr>
      <w:tblGrid>
        <w:gridCol w:w="9639"/>
      </w:tblGrid>
      <w:tr w:rsidR="0014143B" w:rsidTr="00BF0355" w14:paraId="5CF2F1CB" w14:textId="77777777">
        <w:trPr>
          <w:trHeight w:val="288"/>
        </w:trPr>
        <w:tc>
          <w:tcPr>
            <w:tcW w:w="9639" w:type="dxa"/>
            <w:tcBorders>
              <w:top w:val="nil"/>
              <w:left w:val="nil"/>
              <w:bottom w:val="nil"/>
              <w:right w:val="nil"/>
            </w:tcBorders>
            <w:tcMar>
              <w:top w:w="0" w:type="dxa"/>
              <w:bottom w:w="0" w:type="dxa"/>
            </w:tcMar>
          </w:tcPr>
          <w:p w:rsidRPr="00DD168B" w:rsidR="0014143B" w:rsidRDefault="0014143B" w14:paraId="4676F71D" w14:textId="77777777">
            <w:pPr>
              <w:pStyle w:val="Bodycopy"/>
            </w:pPr>
          </w:p>
        </w:tc>
      </w:tr>
      <w:tr w:rsidR="0014143B" w:rsidTr="00BF0355" w14:paraId="0EAB34CD" w14:textId="77777777">
        <w:trPr>
          <w:trHeight w:val="432"/>
        </w:trPr>
        <w:tc>
          <w:tcPr>
            <w:tcW w:w="9639" w:type="dxa"/>
            <w:tcBorders>
              <w:top w:val="nil"/>
              <w:left w:val="nil"/>
              <w:bottom w:val="nil"/>
              <w:right w:val="nil"/>
            </w:tcBorders>
            <w:shd w:val="clear" w:color="auto" w:fill="E7F0FA" w:themeFill="accent6"/>
            <w:tcMar>
              <w:top w:w="216" w:type="dxa"/>
            </w:tcMar>
          </w:tcPr>
          <w:p w:rsidRPr="009F7E72" w:rsidR="0014143B" w:rsidP="00A45448" w:rsidRDefault="00655F7F" w14:paraId="6F32E5EA" w14:textId="780463CA">
            <w:pPr>
              <w:pStyle w:val="IntroOutrocopy"/>
            </w:pPr>
            <w:r>
              <w:t xml:space="preserve">Here is a short update on recent trade activity and changes to the Russell Investments </w:t>
            </w:r>
            <w:r w:rsidR="00FB5FAC">
              <w:t xml:space="preserve">Strategic Index </w:t>
            </w:r>
            <w:r>
              <w:t>Managed Portfolios</w:t>
            </w:r>
            <w:r w:rsidR="00FB5FAC">
              <w:t xml:space="preserve"> on HUB24 Discover</w:t>
            </w:r>
            <w:r>
              <w:t>.</w:t>
            </w:r>
          </w:p>
        </w:tc>
      </w:tr>
    </w:tbl>
    <w:p w:rsidRPr="00A643F0" w:rsidR="0014143B" w:rsidP="00AB2D5C" w:rsidRDefault="004F35AF" w14:paraId="59155A70" w14:textId="64BB78E0">
      <w:pPr>
        <w:pStyle w:val="Heading1"/>
      </w:pPr>
      <w:r>
        <w:t>Summary of key changes</w:t>
      </w:r>
    </w:p>
    <w:p w:rsidRPr="00BF0355" w:rsidR="00B50060" w:rsidP="00AB2D5C" w:rsidRDefault="00B50060" w14:paraId="233B5CD8" w14:textId="77777777">
      <w:pPr>
        <w:pStyle w:val="Orangeline"/>
        <w:ind w:right="0"/>
      </w:pPr>
    </w:p>
    <w:p w:rsidRPr="0064768C" w:rsidR="0064768C" w:rsidP="0064768C" w:rsidRDefault="001E3722" w14:paraId="0536D2BD" w14:textId="77777777">
      <w:pPr>
        <w:pStyle w:val="ListParagraph"/>
        <w:numPr>
          <w:ilvl w:val="0"/>
          <w:numId w:val="22"/>
        </w:numPr>
        <w:rPr>
          <w:rFonts w:eastAsia="Calibri" w:cs="Times New Roman"/>
          <w:color w:val="000060" w:themeColor="accent1"/>
          <w:sz w:val="20"/>
        </w:rPr>
      </w:pPr>
      <w:r w:rsidRPr="001E3722">
        <w:rPr>
          <w:rFonts w:eastAsia="Calibri" w:cs="Times New Roman"/>
          <w:color w:val="000060" w:themeColor="accent1"/>
          <w:sz w:val="20"/>
        </w:rPr>
        <w:t xml:space="preserve">Completed a rebalance to realign the portfolios to our preferred positioning. </w:t>
      </w:r>
    </w:p>
    <w:p w:rsidR="000E4661" w:rsidP="00AB2D5C" w:rsidRDefault="0064768C" w14:paraId="371BA7A3" w14:textId="77777777">
      <w:pPr>
        <w:pStyle w:val="Bodycopy"/>
        <w:numPr>
          <w:ilvl w:val="0"/>
          <w:numId w:val="22"/>
        </w:numPr>
        <w:ind w:right="0"/>
      </w:pPr>
      <w:r>
        <w:t>We added to Macquarie’s Core Australian Equity Active ETF, reducing passive exposure.</w:t>
      </w:r>
    </w:p>
    <w:p w:rsidR="004F35AF" w:rsidP="00AB2D5C" w:rsidRDefault="004F35AF" w14:paraId="553B6C8D" w14:textId="78D774CC">
      <w:pPr>
        <w:pStyle w:val="Bodycopy"/>
        <w:numPr>
          <w:ilvl w:val="0"/>
          <w:numId w:val="22"/>
        </w:numPr>
        <w:ind w:right="0"/>
      </w:pPr>
      <w:r>
        <w:t xml:space="preserve">Portfolios affected by these changes are the </w:t>
      </w:r>
      <w:r w:rsidRPr="001D129B" w:rsidR="001D129B">
        <w:t>Russell Investments Strategic Index Diversified 50 Managed Portfolio, the Russell Investments Strategic Index Balanced Managed Portfolio</w:t>
      </w:r>
      <w:r w:rsidR="007030D5">
        <w:t xml:space="preserve">, </w:t>
      </w:r>
      <w:r w:rsidRPr="001D129B" w:rsidR="001D129B">
        <w:t>the Russell Investments Strategic Index Growth Managed Portfolio</w:t>
      </w:r>
      <w:r w:rsidR="007030D5">
        <w:t xml:space="preserve">, and the </w:t>
      </w:r>
      <w:r w:rsidR="00672EC9">
        <w:t>Russell Investments Strategic Index Geared 120 Portfolio</w:t>
      </w:r>
      <w:r w:rsidRPr="001D129B" w:rsidR="001D129B">
        <w:t xml:space="preserve"> (Portfolios).</w:t>
      </w:r>
    </w:p>
    <w:p w:rsidR="004F35AF" w:rsidP="00AB2D5C" w:rsidRDefault="004F35AF" w14:paraId="63C03A48" w14:textId="77777777">
      <w:pPr>
        <w:pStyle w:val="Heading1"/>
      </w:pPr>
      <w:r>
        <w:t>Rationale for portfolio changes</w:t>
      </w:r>
    </w:p>
    <w:p w:rsidRPr="004F35AF" w:rsidR="004F35AF" w:rsidP="00AB2D5C" w:rsidRDefault="004F35AF" w14:paraId="5095195C" w14:textId="77777777">
      <w:pPr>
        <w:pStyle w:val="Orangeline"/>
        <w:ind w:right="0"/>
      </w:pPr>
    </w:p>
    <w:p w:rsidR="0019007E" w:rsidP="00AB2D5C" w:rsidRDefault="008750E8" w14:paraId="7B2A61BB" w14:textId="0ED88CAA">
      <w:pPr>
        <w:pStyle w:val="Bodycopy"/>
        <w:ind w:right="0"/>
      </w:pPr>
      <w:bookmarkStart w:name="_Hlk221871180" w:id="3"/>
      <w:r>
        <w:t xml:space="preserve">These changes are part of a regular rebalancing cycle that is undertaken </w:t>
      </w:r>
      <w:r w:rsidR="00CC2756">
        <w:t>to ensure portfolio positioning is in alignment with target.</w:t>
      </w:r>
    </w:p>
    <w:bookmarkEnd w:id="3"/>
    <w:p w:rsidR="0019007E" w:rsidRDefault="0019007E" w14:paraId="43EB0234" w14:textId="77777777">
      <w:pPr>
        <w:spacing w:after="280" w:line="280" w:lineRule="exact"/>
        <w:ind w:firstLine="187"/>
        <w:rPr>
          <w:rFonts w:eastAsia="Calibri" w:cs="Times New Roman"/>
          <w:color w:val="000060" w:themeColor="accent1"/>
          <w:sz w:val="20"/>
        </w:rPr>
      </w:pPr>
      <w:r>
        <w:br w:type="page"/>
      </w:r>
    </w:p>
    <w:p w:rsidR="004F35AF" w:rsidP="00AB2D5C" w:rsidRDefault="004F35AF" w14:paraId="486B6BC5" w14:textId="77777777">
      <w:pPr>
        <w:pStyle w:val="Bodycopy"/>
        <w:ind w:right="0"/>
      </w:pPr>
    </w:p>
    <w:p w:rsidR="004F35AF" w:rsidP="00AB2D5C" w:rsidRDefault="004F35AF" w14:paraId="23F447A2" w14:textId="77777777">
      <w:pPr>
        <w:pStyle w:val="Heading1"/>
      </w:pPr>
      <w:r>
        <w:t>Specific portfolio changes</w:t>
      </w:r>
    </w:p>
    <w:p w:rsidRPr="004F35AF" w:rsidR="004F35AF" w:rsidP="00AB2D5C" w:rsidRDefault="004F35AF" w14:paraId="1B28BAE8" w14:textId="77777777">
      <w:pPr>
        <w:pStyle w:val="Orangeline"/>
        <w:ind w:right="0"/>
      </w:pPr>
    </w:p>
    <w:p w:rsidR="00EF6A0D" w:rsidP="00AB2D5C" w:rsidRDefault="00197CE3" w14:paraId="13761CE9" w14:textId="4D77CC99">
      <w:pPr>
        <w:pStyle w:val="Bodycopy"/>
        <w:ind w:right="0"/>
      </w:pPr>
      <w:r>
        <w:t>We rebalanced Global equities exposure, trimming Australian equities</w:t>
      </w:r>
      <w:r w:rsidR="00290E83">
        <w:t xml:space="preserve"> as part of our regular semi-annual review cycle</w:t>
      </w:r>
      <w:r>
        <w:t xml:space="preserve">. We are now modestly overweight to the United States and </w:t>
      </w:r>
      <w:r w:rsidR="00EF6A0D">
        <w:t xml:space="preserve">developed markets ex-US (to a lesser extent). We are also overweight to emerging market equities which have outperformed in recent months. This positioning is driven by strong positive earnings expectations from developed markets – the United States in particular – and loose financial conditions including lowered rates in the US and the UK; central banks in both countries cut their base interest rates at their December meetings. Productivity gains from AI – and continued investment in the space – also influenced the regional direction of funds. </w:t>
      </w:r>
    </w:p>
    <w:p w:rsidR="00EF6A0D" w:rsidP="00AB2D5C" w:rsidRDefault="00EF6A0D" w14:paraId="4E40ED86" w14:textId="77777777">
      <w:pPr>
        <w:pStyle w:val="Bodycopy"/>
        <w:ind w:right="0"/>
      </w:pPr>
      <w:r>
        <w:t xml:space="preserve">Emerging markets are presenting attractive valuations and are arguably underweight by capital allocators. A weaker US dollar – which fell steadily through 2025 – is positive for emerging markets. Additionally, markets like China have experienced positive technical advancements that have shaken markets, including AI and battery related announcements. Regulatory policy in those nations is also supporting a market sentiment of value in emerging markets. </w:t>
      </w:r>
    </w:p>
    <w:p w:rsidR="005A4491" w:rsidP="00AB2D5C" w:rsidRDefault="005A4491" w14:paraId="2DE72F6C" w14:textId="19131482">
      <w:pPr>
        <w:pStyle w:val="Bodycopy"/>
        <w:ind w:right="0"/>
      </w:pPr>
      <w:r>
        <w:t xml:space="preserve">We rebalanced our real assets exposure, including listed property and infrastructure to align with strategic asset allocation targets. </w:t>
      </w:r>
    </w:p>
    <w:p w:rsidR="00EA10DD" w:rsidP="00AB2D5C" w:rsidRDefault="005A4491" w14:paraId="6398EFA3" w14:textId="77777777">
      <w:pPr>
        <w:pStyle w:val="Bodycopy"/>
        <w:ind w:right="0"/>
      </w:pPr>
      <w:r>
        <w:t xml:space="preserve">We added to unhedged global equities, which provides some diversification benefit to our moderately overweight position on global equities. The strength of the Australian dollar against the US dollar supports this move; it’s sitting close to fair value </w:t>
      </w:r>
      <w:r w:rsidR="00EA10DD">
        <w:t xml:space="preserve">and supports the reduction in AUD and increase to USD and foreign currency. </w:t>
      </w:r>
    </w:p>
    <w:p w:rsidR="004E2BC8" w:rsidP="004E2BC8" w:rsidRDefault="00216260" w14:paraId="08666995" w14:textId="77777777">
      <w:pPr>
        <w:pStyle w:val="Bodycopy"/>
        <w:ind w:right="0"/>
      </w:pPr>
      <w:r>
        <w:t>We added Macquarie’s Core Australian Equity Activ</w:t>
      </w:r>
      <w:r w:rsidR="00961EFA">
        <w:t>e</w:t>
      </w:r>
      <w:r>
        <w:t xml:space="preserve"> ETF, reducing passive exposure. </w:t>
      </w:r>
      <w:r w:rsidR="00961EFA">
        <w:t xml:space="preserve">We believe the multi-factor quantitative </w:t>
      </w:r>
      <w:r>
        <w:t>investment strategy</w:t>
      </w:r>
      <w:r w:rsidR="00F50AA7">
        <w:t xml:space="preserve"> can add above-benchmark returns with low volatility </w:t>
      </w:r>
      <w:r w:rsidR="00991445">
        <w:t>over the investment horizon.</w:t>
      </w:r>
    </w:p>
    <w:p w:rsidR="004F35AF" w:rsidP="00AB2D5C" w:rsidRDefault="004F35AF" w14:paraId="4AA777D0" w14:textId="7219E42C">
      <w:pPr>
        <w:pStyle w:val="Heading1"/>
      </w:pPr>
      <w:r>
        <w:t>Changes in asset allocation</w:t>
      </w:r>
    </w:p>
    <w:p w:rsidRPr="004F35AF" w:rsidR="004F35AF" w:rsidP="00AB2D5C" w:rsidRDefault="004F35AF" w14:paraId="1844C7CC" w14:textId="77777777">
      <w:pPr>
        <w:pStyle w:val="Orangeline"/>
        <w:ind w:right="0"/>
      </w:pPr>
    </w:p>
    <w:tbl>
      <w:tblPr>
        <w:tblStyle w:val="Russelltable1"/>
        <w:tblW w:w="5076" w:type="pct"/>
        <w:tblLook w:val="04A0" w:firstRow="1" w:lastRow="0" w:firstColumn="1" w:lastColumn="0" w:noHBand="0" w:noVBand="1"/>
      </w:tblPr>
      <w:tblGrid>
        <w:gridCol w:w="2076"/>
        <w:gridCol w:w="1262"/>
        <w:gridCol w:w="1766"/>
        <w:gridCol w:w="1275"/>
        <w:gridCol w:w="1702"/>
        <w:gridCol w:w="1700"/>
      </w:tblGrid>
      <w:tr w:rsidRPr="00F21589" w:rsidR="005D7F28" w:rsidTr="005D7F28" w14:paraId="27EA3596" w14:textId="2E747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Merge w:val="restart"/>
            <w:vAlign w:val="top"/>
          </w:tcPr>
          <w:p w:rsidR="005D7F28" w:rsidP="00AB2D5C" w:rsidRDefault="005D7F28" w14:paraId="1AFABF2B" w14:textId="7F802661">
            <w:pPr>
              <w:pStyle w:val="Tablecopyleft"/>
              <w:ind w:right="0"/>
              <w:jc w:val="left"/>
            </w:pPr>
            <w:r>
              <w:t>Asset class</w:t>
            </w:r>
          </w:p>
        </w:tc>
        <w:tc>
          <w:tcPr>
            <w:tcW w:w="3939" w:type="pct"/>
            <w:gridSpan w:val="5"/>
            <w:vAlign w:val="top"/>
          </w:tcPr>
          <w:p w:rsidRPr="00B83CE9" w:rsidR="005D7F28" w:rsidP="00AB2D5C" w:rsidRDefault="005D7F28" w14:paraId="2803769D" w14:textId="6F4E8025">
            <w:pPr>
              <w:pStyle w:val="Tablecopyleft"/>
              <w:ind w:right="0"/>
              <w:cnfStyle w:val="100000000000" w:firstRow="1" w:lastRow="0" w:firstColumn="0" w:lastColumn="0" w:oddVBand="0" w:evenVBand="0" w:oddHBand="0" w:evenHBand="0" w:firstRowFirstColumn="0" w:firstRowLastColumn="0" w:lastRowFirstColumn="0" w:lastRowLastColumn="0"/>
            </w:pPr>
            <w:r>
              <w:t>Risk profile</w:t>
            </w:r>
          </w:p>
        </w:tc>
      </w:tr>
      <w:tr w:rsidRPr="00F21589" w:rsidR="005D7F28" w:rsidTr="005D7F28" w14:paraId="25A9A049" w14:textId="2B573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Merge/>
            <w:tcBorders>
              <w:bottom w:val="single" w:color="5F6061" w:themeColor="text2" w:sz="2" w:space="0"/>
            </w:tcBorders>
            <w:vAlign w:val="top"/>
          </w:tcPr>
          <w:p w:rsidRPr="00F21589" w:rsidR="005D7F28" w:rsidP="00AB2D5C" w:rsidRDefault="005D7F28" w14:paraId="41123659" w14:textId="0D8697F4">
            <w:pPr>
              <w:pStyle w:val="Tablecopyleft"/>
              <w:ind w:right="0"/>
            </w:pPr>
          </w:p>
        </w:tc>
        <w:tc>
          <w:tcPr>
            <w:tcW w:w="645" w:type="pct"/>
            <w:tcBorders>
              <w:bottom w:val="single" w:color="5F6061" w:themeColor="text2" w:sz="2" w:space="0"/>
            </w:tcBorders>
            <w:shd w:val="clear" w:color="auto" w:fill="E7F0FA" w:themeFill="accent6"/>
            <w:vAlign w:val="top"/>
          </w:tcPr>
          <w:p w:rsidRPr="004F35AF" w:rsidR="005D7F28" w:rsidP="00AB2D5C" w:rsidRDefault="005D7F28" w14:paraId="28E16B2B" w14:textId="13DB0A37">
            <w:pPr>
              <w:pStyle w:val="Tablecopyleft"/>
              <w:ind w:right="0"/>
              <w:jc w:val="center"/>
              <w:cnfStyle w:val="000000100000" w:firstRow="0" w:lastRow="0" w:firstColumn="0" w:lastColumn="0" w:oddVBand="0" w:evenVBand="0" w:oddHBand="1" w:evenHBand="0" w:firstRowFirstColumn="0" w:firstRowLastColumn="0" w:lastRowFirstColumn="0" w:lastRowLastColumn="0"/>
              <w:rPr>
                <w:b/>
                <w:bCs/>
              </w:rPr>
            </w:pPr>
            <w:r w:rsidRPr="004F35AF">
              <w:rPr>
                <w:b/>
                <w:bCs/>
              </w:rPr>
              <w:t>Diversified 50</w:t>
            </w:r>
          </w:p>
        </w:tc>
        <w:tc>
          <w:tcPr>
            <w:tcW w:w="903" w:type="pct"/>
            <w:tcBorders>
              <w:bottom w:val="single" w:color="5F6061" w:themeColor="text2" w:sz="2" w:space="0"/>
            </w:tcBorders>
            <w:shd w:val="clear" w:color="auto" w:fill="E7F0FA" w:themeFill="accent6"/>
            <w:vAlign w:val="top"/>
          </w:tcPr>
          <w:p w:rsidRPr="004F35AF" w:rsidR="005D7F28" w:rsidP="00AB2D5C" w:rsidRDefault="005D7F28" w14:paraId="6AD91939" w14:textId="3335A23E">
            <w:pPr>
              <w:pStyle w:val="Tablecopyleft"/>
              <w:ind w:right="0"/>
              <w:jc w:val="center"/>
              <w:cnfStyle w:val="000000100000" w:firstRow="0" w:lastRow="0" w:firstColumn="0" w:lastColumn="0" w:oddVBand="0" w:evenVBand="0" w:oddHBand="1" w:evenHBand="0" w:firstRowFirstColumn="0" w:firstRowLastColumn="0" w:lastRowFirstColumn="0" w:lastRowLastColumn="0"/>
              <w:rPr>
                <w:b/>
                <w:bCs/>
              </w:rPr>
            </w:pPr>
            <w:r w:rsidRPr="004F35AF">
              <w:rPr>
                <w:b/>
                <w:bCs/>
              </w:rPr>
              <w:t>Balanced</w:t>
            </w:r>
          </w:p>
        </w:tc>
        <w:tc>
          <w:tcPr>
            <w:tcW w:w="652" w:type="pct"/>
            <w:tcBorders>
              <w:bottom w:val="single" w:color="5F6061" w:themeColor="text2" w:sz="2" w:space="0"/>
            </w:tcBorders>
            <w:shd w:val="clear" w:color="auto" w:fill="E7F0FA" w:themeFill="accent6"/>
            <w:vAlign w:val="top"/>
          </w:tcPr>
          <w:p w:rsidRPr="004F35AF" w:rsidR="005D7F28" w:rsidP="00AB2D5C" w:rsidRDefault="005D7F28" w14:paraId="3CF57CDE" w14:textId="6363FDEF">
            <w:pPr>
              <w:pStyle w:val="Tablecopyleft"/>
              <w:ind w:right="0"/>
              <w:jc w:val="center"/>
              <w:cnfStyle w:val="000000100000" w:firstRow="0" w:lastRow="0" w:firstColumn="0" w:lastColumn="0" w:oddVBand="0" w:evenVBand="0" w:oddHBand="1" w:evenHBand="0" w:firstRowFirstColumn="0" w:firstRowLastColumn="0" w:lastRowFirstColumn="0" w:lastRowLastColumn="0"/>
              <w:rPr>
                <w:b/>
                <w:bCs/>
              </w:rPr>
            </w:pPr>
            <w:r w:rsidRPr="004F35AF">
              <w:rPr>
                <w:b/>
                <w:bCs/>
              </w:rPr>
              <w:t>Growth</w:t>
            </w:r>
          </w:p>
        </w:tc>
        <w:tc>
          <w:tcPr>
            <w:tcW w:w="870" w:type="pct"/>
            <w:tcBorders>
              <w:bottom w:val="single" w:color="5F6061" w:themeColor="text2" w:sz="2" w:space="0"/>
            </w:tcBorders>
            <w:shd w:val="clear" w:color="auto" w:fill="E7F0FA" w:themeFill="accent6"/>
            <w:vAlign w:val="top"/>
          </w:tcPr>
          <w:p w:rsidRPr="004F35AF" w:rsidR="005D7F28" w:rsidP="00AB2D5C" w:rsidRDefault="005D7F28" w14:paraId="7C186A4A" w14:textId="68117FD2">
            <w:pPr>
              <w:pStyle w:val="Tablecopyleft"/>
              <w:ind w:right="0"/>
              <w:jc w:val="center"/>
              <w:cnfStyle w:val="000000100000" w:firstRow="0" w:lastRow="0" w:firstColumn="0" w:lastColumn="0" w:oddVBand="0" w:evenVBand="0" w:oddHBand="1" w:evenHBand="0" w:firstRowFirstColumn="0" w:firstRowLastColumn="0" w:lastRowFirstColumn="0" w:lastRowLastColumn="0"/>
              <w:rPr>
                <w:b/>
                <w:bCs/>
              </w:rPr>
            </w:pPr>
            <w:r w:rsidRPr="004F35AF">
              <w:rPr>
                <w:b/>
                <w:bCs/>
              </w:rPr>
              <w:t>High growth</w:t>
            </w:r>
          </w:p>
        </w:tc>
        <w:tc>
          <w:tcPr>
            <w:tcW w:w="869" w:type="pct"/>
            <w:tcBorders>
              <w:bottom w:val="single" w:color="5F6061" w:themeColor="text2" w:sz="2" w:space="0"/>
            </w:tcBorders>
            <w:shd w:val="clear" w:color="auto" w:fill="E7F0FA" w:themeFill="accent6"/>
          </w:tcPr>
          <w:p w:rsidRPr="004F35AF" w:rsidR="005D7F28" w:rsidP="00AB2D5C" w:rsidRDefault="005D7F28" w14:paraId="4CEB09B0" w14:textId="4E4AD3E7">
            <w:pPr>
              <w:pStyle w:val="Tablecopyleft"/>
              <w:ind w:right="0"/>
              <w:jc w:val="center"/>
              <w:cnfStyle w:val="000000100000" w:firstRow="0" w:lastRow="0" w:firstColumn="0" w:lastColumn="0" w:oddVBand="0" w:evenVBand="0" w:oddHBand="1" w:evenHBand="0" w:firstRowFirstColumn="0" w:firstRowLastColumn="0" w:lastRowFirstColumn="0" w:lastRowLastColumn="0"/>
              <w:rPr>
                <w:b/>
                <w:bCs/>
              </w:rPr>
            </w:pPr>
            <w:r>
              <w:rPr>
                <w:b/>
                <w:bCs/>
              </w:rPr>
              <w:t>Geared 120</w:t>
            </w:r>
          </w:p>
        </w:tc>
      </w:tr>
      <w:tr w:rsidRPr="00F21589" w:rsidR="005D7F28" w:rsidTr="005D7F28" w14:paraId="6CBE3E06" w14:textId="55D91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tcBorders>
              <w:top w:val="single" w:color="5F6061" w:themeColor="text2" w:sz="2" w:space="0"/>
            </w:tcBorders>
            <w:vAlign w:val="top"/>
          </w:tcPr>
          <w:p w:rsidRPr="009941AC" w:rsidR="005D7F28" w:rsidP="005D7F28" w:rsidRDefault="005D7F28" w14:paraId="7776DEAB" w14:textId="007D46A0">
            <w:pPr>
              <w:pStyle w:val="Tablecopyleft"/>
              <w:ind w:right="0"/>
              <w:rPr>
                <w:b w:val="0"/>
                <w:bCs/>
                <w:color w:val="165EDA" w:themeColor="accent2"/>
              </w:rPr>
            </w:pPr>
            <w:r w:rsidRPr="009941AC">
              <w:rPr>
                <w:color w:val="165EDA" w:themeColor="accent2"/>
              </w:rPr>
              <w:t>GROWTH ASSETS</w:t>
            </w:r>
          </w:p>
        </w:tc>
        <w:tc>
          <w:tcPr>
            <w:tcW w:w="645" w:type="pct"/>
            <w:tcBorders>
              <w:top w:val="single" w:color="5F6061" w:themeColor="text2" w:sz="2" w:space="0"/>
            </w:tcBorders>
            <w:vAlign w:val="top"/>
          </w:tcPr>
          <w:p w:rsidRPr="005D7F28" w:rsidR="005D7F28" w:rsidP="005D7F28" w:rsidRDefault="005D7F28" w14:paraId="60F3F450" w14:textId="6B8CD130">
            <w:pPr>
              <w:pStyle w:val="Tablecopyleft"/>
              <w:ind w:right="0"/>
              <w:jc w:val="center"/>
              <w:cnfStyle w:val="000000010000" w:firstRow="0" w:lastRow="0" w:firstColumn="0" w:lastColumn="0" w:oddVBand="0" w:evenVBand="0" w:oddHBand="0" w:evenHBand="1" w:firstRowFirstColumn="0" w:firstRowLastColumn="0" w:lastRowFirstColumn="0" w:lastRowLastColumn="0"/>
              <w:rPr>
                <w:b/>
                <w:bCs/>
                <w:color w:val="165EDA" w:themeColor="accent2"/>
              </w:rPr>
            </w:pPr>
            <w:r w:rsidRPr="005D7F28">
              <w:rPr>
                <w:b/>
                <w:bCs/>
                <w:color w:val="165EDA" w:themeColor="accent2"/>
              </w:rPr>
              <w:t>0.4</w:t>
            </w:r>
          </w:p>
        </w:tc>
        <w:tc>
          <w:tcPr>
            <w:tcW w:w="903" w:type="pct"/>
            <w:tcBorders>
              <w:top w:val="single" w:color="5F6061" w:themeColor="text2" w:sz="2" w:space="0"/>
            </w:tcBorders>
            <w:vAlign w:val="top"/>
          </w:tcPr>
          <w:p w:rsidRPr="005D7F28" w:rsidR="005D7F28" w:rsidP="005D7F28" w:rsidRDefault="005D7F28" w14:paraId="09F08F83" w14:textId="44990E30">
            <w:pPr>
              <w:pStyle w:val="Tablecopyleft"/>
              <w:ind w:right="0"/>
              <w:jc w:val="center"/>
              <w:cnfStyle w:val="000000010000" w:firstRow="0" w:lastRow="0" w:firstColumn="0" w:lastColumn="0" w:oddVBand="0" w:evenVBand="0" w:oddHBand="0" w:evenHBand="1" w:firstRowFirstColumn="0" w:firstRowLastColumn="0" w:lastRowFirstColumn="0" w:lastRowLastColumn="0"/>
              <w:rPr>
                <w:b/>
                <w:bCs/>
                <w:color w:val="165EDA" w:themeColor="accent2"/>
              </w:rPr>
            </w:pPr>
            <w:r w:rsidRPr="005D7F28">
              <w:rPr>
                <w:b/>
                <w:bCs/>
                <w:color w:val="165EDA" w:themeColor="accent2"/>
              </w:rPr>
              <w:t>0.4</w:t>
            </w:r>
          </w:p>
        </w:tc>
        <w:tc>
          <w:tcPr>
            <w:tcW w:w="652" w:type="pct"/>
            <w:tcBorders>
              <w:top w:val="single" w:color="5F6061" w:themeColor="text2" w:sz="2" w:space="0"/>
            </w:tcBorders>
            <w:vAlign w:val="top"/>
          </w:tcPr>
          <w:p w:rsidRPr="005D7F28" w:rsidR="005D7F28" w:rsidP="005D7F28" w:rsidRDefault="005D7F28" w14:paraId="703FF359" w14:textId="39F0820B">
            <w:pPr>
              <w:pStyle w:val="Tablecopyleft"/>
              <w:ind w:right="0"/>
              <w:jc w:val="center"/>
              <w:cnfStyle w:val="000000010000" w:firstRow="0" w:lastRow="0" w:firstColumn="0" w:lastColumn="0" w:oddVBand="0" w:evenVBand="0" w:oddHBand="0" w:evenHBand="1" w:firstRowFirstColumn="0" w:firstRowLastColumn="0" w:lastRowFirstColumn="0" w:lastRowLastColumn="0"/>
              <w:rPr>
                <w:b/>
                <w:bCs/>
                <w:color w:val="165EDA" w:themeColor="accent2"/>
              </w:rPr>
            </w:pPr>
            <w:r w:rsidRPr="005D7F28">
              <w:rPr>
                <w:b/>
                <w:bCs/>
                <w:color w:val="165EDA" w:themeColor="accent2"/>
              </w:rPr>
              <w:t>1.5</w:t>
            </w:r>
          </w:p>
        </w:tc>
        <w:tc>
          <w:tcPr>
            <w:tcW w:w="870" w:type="pct"/>
            <w:tcBorders>
              <w:top w:val="single" w:color="5F6061" w:themeColor="text2" w:sz="2" w:space="0"/>
            </w:tcBorders>
            <w:vAlign w:val="top"/>
          </w:tcPr>
          <w:p w:rsidRPr="005D7F28" w:rsidR="005D7F28" w:rsidP="005D7F28" w:rsidRDefault="005D7F28" w14:paraId="0F322EFD" w14:textId="1E5823BE">
            <w:pPr>
              <w:pStyle w:val="Tablecopyleft"/>
              <w:ind w:right="0"/>
              <w:jc w:val="center"/>
              <w:cnfStyle w:val="000000010000" w:firstRow="0" w:lastRow="0" w:firstColumn="0" w:lastColumn="0" w:oddVBand="0" w:evenVBand="0" w:oddHBand="0" w:evenHBand="1" w:firstRowFirstColumn="0" w:firstRowLastColumn="0" w:lastRowFirstColumn="0" w:lastRowLastColumn="0"/>
              <w:rPr>
                <w:b/>
                <w:bCs/>
                <w:color w:val="165EDA" w:themeColor="accent2"/>
              </w:rPr>
            </w:pPr>
            <w:r w:rsidRPr="005D7F28">
              <w:rPr>
                <w:b/>
                <w:bCs/>
                <w:color w:val="165EDA" w:themeColor="accent2"/>
              </w:rPr>
              <w:t>1.3</w:t>
            </w:r>
          </w:p>
        </w:tc>
        <w:tc>
          <w:tcPr>
            <w:tcW w:w="869" w:type="pct"/>
            <w:tcBorders>
              <w:top w:val="single" w:color="5F6061" w:themeColor="text2" w:sz="2" w:space="0"/>
            </w:tcBorders>
            <w:vAlign w:val="top"/>
          </w:tcPr>
          <w:p w:rsidRPr="005D7F28" w:rsidR="005D7F28" w:rsidP="005D7F28" w:rsidRDefault="005D7F28" w14:paraId="048746EE" w14:textId="178218DB">
            <w:pPr>
              <w:pStyle w:val="Tablecopyleft"/>
              <w:ind w:right="0"/>
              <w:jc w:val="center"/>
              <w:cnfStyle w:val="000000010000" w:firstRow="0" w:lastRow="0" w:firstColumn="0" w:lastColumn="0" w:oddVBand="0" w:evenVBand="0" w:oddHBand="0" w:evenHBand="1" w:firstRowFirstColumn="0" w:firstRowLastColumn="0" w:lastRowFirstColumn="0" w:lastRowLastColumn="0"/>
              <w:rPr>
                <w:b/>
                <w:bCs/>
                <w:color w:val="165EDA" w:themeColor="accent2"/>
              </w:rPr>
            </w:pPr>
            <w:r w:rsidRPr="005D7F28">
              <w:rPr>
                <w:b/>
                <w:bCs/>
                <w:color w:val="165EDA" w:themeColor="accent2"/>
              </w:rPr>
              <w:t>0.1</w:t>
            </w:r>
          </w:p>
        </w:tc>
      </w:tr>
      <w:tr w:rsidRPr="00F21589" w:rsidR="005D7F28" w:rsidTr="005D7F28" w14:paraId="5DDE19A3" w14:textId="4CF8F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Align w:val="top"/>
          </w:tcPr>
          <w:p w:rsidRPr="008D0AF5" w:rsidR="005D7F28" w:rsidP="005D7F28" w:rsidRDefault="005D7F28" w14:paraId="74EE4D35" w14:textId="25FFDB1E">
            <w:pPr>
              <w:pStyle w:val="Tablecopyleft"/>
              <w:ind w:right="0"/>
              <w:rPr>
                <w:b w:val="0"/>
                <w:bCs/>
              </w:rPr>
            </w:pPr>
            <w:r w:rsidRPr="008D0AF5">
              <w:rPr>
                <w:b w:val="0"/>
                <w:bCs/>
              </w:rPr>
              <w:t>Australian equity</w:t>
            </w:r>
          </w:p>
        </w:tc>
        <w:tc>
          <w:tcPr>
            <w:tcW w:w="645" w:type="pct"/>
            <w:vAlign w:val="top"/>
          </w:tcPr>
          <w:p w:rsidRPr="00F21589" w:rsidR="005D7F28" w:rsidP="005D7F28" w:rsidRDefault="005D7F28" w14:paraId="3ACD265B" w14:textId="27689A77">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631A38">
              <w:t>-0.3</w:t>
            </w:r>
          </w:p>
        </w:tc>
        <w:tc>
          <w:tcPr>
            <w:tcW w:w="903" w:type="pct"/>
            <w:vAlign w:val="top"/>
          </w:tcPr>
          <w:p w:rsidRPr="00F21589" w:rsidR="005D7F28" w:rsidP="005D7F28" w:rsidRDefault="005D7F28" w14:paraId="6B455516" w14:textId="13050C98">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631A38">
              <w:t>-0.6</w:t>
            </w:r>
          </w:p>
        </w:tc>
        <w:tc>
          <w:tcPr>
            <w:tcW w:w="652" w:type="pct"/>
            <w:vAlign w:val="top"/>
          </w:tcPr>
          <w:p w:rsidRPr="00F21589" w:rsidR="005D7F28" w:rsidP="005D7F28" w:rsidRDefault="005D7F28" w14:paraId="5AF276F7" w14:textId="5A889ED9">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631A38">
              <w:t>0.6</w:t>
            </w:r>
          </w:p>
        </w:tc>
        <w:tc>
          <w:tcPr>
            <w:tcW w:w="870" w:type="pct"/>
            <w:vAlign w:val="top"/>
          </w:tcPr>
          <w:p w:rsidRPr="00F21589" w:rsidR="005D7F28" w:rsidP="005D7F28" w:rsidRDefault="005D7F28" w14:paraId="019899DE" w14:textId="0D59EB50">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631A38">
              <w:t>0.4</w:t>
            </w:r>
          </w:p>
        </w:tc>
        <w:tc>
          <w:tcPr>
            <w:tcW w:w="869" w:type="pct"/>
            <w:vAlign w:val="top"/>
          </w:tcPr>
          <w:p w:rsidRPr="009A2021" w:rsidR="005D7F28" w:rsidP="005D7F28" w:rsidRDefault="005D7F28" w14:paraId="05201C8C" w14:textId="4E9D0676">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631A38">
              <w:t>1.7</w:t>
            </w:r>
          </w:p>
        </w:tc>
      </w:tr>
      <w:tr w:rsidRPr="00F21589" w:rsidR="005D7F28" w:rsidTr="005D7F28" w14:paraId="1437FC74" w14:textId="4FF62A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Align w:val="top"/>
          </w:tcPr>
          <w:p w:rsidRPr="008D0AF5" w:rsidR="005D7F28" w:rsidP="005D7F28" w:rsidRDefault="005D7F28" w14:paraId="2C8A6ABE" w14:textId="20CAC9D9">
            <w:pPr>
              <w:pStyle w:val="Tablecopyleft"/>
              <w:ind w:right="0"/>
              <w:rPr>
                <w:b w:val="0"/>
                <w:bCs/>
              </w:rPr>
            </w:pPr>
            <w:r w:rsidRPr="008D0AF5">
              <w:rPr>
                <w:b w:val="0"/>
                <w:bCs/>
              </w:rPr>
              <w:t>Global equity</w:t>
            </w:r>
          </w:p>
        </w:tc>
        <w:tc>
          <w:tcPr>
            <w:tcW w:w="645" w:type="pct"/>
            <w:vAlign w:val="top"/>
          </w:tcPr>
          <w:p w:rsidRPr="00F21589" w:rsidR="005D7F28" w:rsidP="005D7F28" w:rsidRDefault="005D7F28" w14:paraId="56C83C6F" w14:textId="1FF8BA7A">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1.1</w:t>
            </w:r>
          </w:p>
        </w:tc>
        <w:tc>
          <w:tcPr>
            <w:tcW w:w="903" w:type="pct"/>
            <w:vAlign w:val="top"/>
          </w:tcPr>
          <w:p w:rsidRPr="00F21589" w:rsidR="005D7F28" w:rsidP="005D7F28" w:rsidRDefault="005D7F28" w14:paraId="5AC35F9D" w14:textId="13A8F5FD">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2.0</w:t>
            </w:r>
          </w:p>
        </w:tc>
        <w:tc>
          <w:tcPr>
            <w:tcW w:w="652" w:type="pct"/>
            <w:vAlign w:val="top"/>
          </w:tcPr>
          <w:p w:rsidRPr="00F21589" w:rsidR="005D7F28" w:rsidP="005D7F28" w:rsidRDefault="005D7F28" w14:paraId="562BC5FA" w14:textId="75F75D69">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1.6</w:t>
            </w:r>
          </w:p>
        </w:tc>
        <w:tc>
          <w:tcPr>
            <w:tcW w:w="870" w:type="pct"/>
            <w:vAlign w:val="top"/>
          </w:tcPr>
          <w:p w:rsidRPr="00F21589" w:rsidR="005D7F28" w:rsidP="005D7F28" w:rsidRDefault="005D7F28" w14:paraId="5B6B980D" w14:textId="5ADD72DF">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1.3</w:t>
            </w:r>
          </w:p>
        </w:tc>
        <w:tc>
          <w:tcPr>
            <w:tcW w:w="869" w:type="pct"/>
            <w:vAlign w:val="top"/>
          </w:tcPr>
          <w:p w:rsidRPr="009A2021" w:rsidR="005D7F28" w:rsidP="005D7F28" w:rsidRDefault="005D7F28" w14:paraId="31C92B2C" w14:textId="3C30D1F6">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-1.5</w:t>
            </w:r>
          </w:p>
        </w:tc>
      </w:tr>
      <w:tr w:rsidRPr="00F21589" w:rsidR="005D7F28" w:rsidTr="005D7F28" w14:paraId="063DE08C" w14:textId="0EE25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Align w:val="top"/>
          </w:tcPr>
          <w:p w:rsidRPr="008D0AF5" w:rsidR="005D7F28" w:rsidP="005D7F28" w:rsidRDefault="005D7F28" w14:paraId="73EA3327" w14:textId="1D8130BA">
            <w:pPr>
              <w:pStyle w:val="Tablecopyleft"/>
              <w:ind w:right="0"/>
              <w:rPr>
                <w:b w:val="0"/>
                <w:bCs/>
              </w:rPr>
            </w:pPr>
            <w:r w:rsidRPr="008D0AF5">
              <w:rPr>
                <w:b w:val="0"/>
                <w:bCs/>
              </w:rPr>
              <w:t>Australian property</w:t>
            </w:r>
          </w:p>
        </w:tc>
        <w:tc>
          <w:tcPr>
            <w:tcW w:w="645" w:type="pct"/>
            <w:vAlign w:val="top"/>
          </w:tcPr>
          <w:p w:rsidRPr="00F21589" w:rsidR="005D7F28" w:rsidP="005D7F28" w:rsidRDefault="005D7F28" w14:paraId="31C97113" w14:textId="1A4E0727">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631A38">
              <w:t>-0.6</w:t>
            </w:r>
          </w:p>
        </w:tc>
        <w:tc>
          <w:tcPr>
            <w:tcW w:w="903" w:type="pct"/>
            <w:vAlign w:val="top"/>
          </w:tcPr>
          <w:p w:rsidRPr="00F21589" w:rsidR="005D7F28" w:rsidP="005D7F28" w:rsidRDefault="005D7F28" w14:paraId="1803B04F" w14:textId="2C461160">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631A38">
              <w:t>-0.3</w:t>
            </w:r>
          </w:p>
        </w:tc>
        <w:tc>
          <w:tcPr>
            <w:tcW w:w="652" w:type="pct"/>
            <w:vAlign w:val="top"/>
          </w:tcPr>
          <w:p w:rsidRPr="00F21589" w:rsidR="005D7F28" w:rsidP="005D7F28" w:rsidRDefault="005D7F28" w14:paraId="608F8856" w14:textId="2843C8A9">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631A38">
              <w:t>-0.3</w:t>
            </w:r>
          </w:p>
        </w:tc>
        <w:tc>
          <w:tcPr>
            <w:tcW w:w="870" w:type="pct"/>
            <w:vAlign w:val="top"/>
          </w:tcPr>
          <w:p w:rsidRPr="00F21589" w:rsidR="005D7F28" w:rsidP="005D7F28" w:rsidRDefault="005D7F28" w14:paraId="7D6E2993" w14:textId="7D91695E">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631A38">
              <w:t>-0.2</w:t>
            </w:r>
          </w:p>
        </w:tc>
        <w:tc>
          <w:tcPr>
            <w:tcW w:w="869" w:type="pct"/>
            <w:vAlign w:val="top"/>
          </w:tcPr>
          <w:p w:rsidRPr="009A2021" w:rsidR="005D7F28" w:rsidP="005D7F28" w:rsidRDefault="005D7F28" w14:paraId="1B95073A" w14:textId="435B6CA1">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631A38">
              <w:t>-0.5</w:t>
            </w:r>
          </w:p>
        </w:tc>
      </w:tr>
      <w:tr w:rsidRPr="00F21589" w:rsidR="005D7F28" w:rsidTr="005D7F28" w14:paraId="214F25B4" w14:textId="47A9A8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Align w:val="top"/>
          </w:tcPr>
          <w:p w:rsidRPr="008D0AF5" w:rsidR="005D7F28" w:rsidP="005D7F28" w:rsidRDefault="005D7F28" w14:paraId="5AD62ACF" w14:textId="5C14B728">
            <w:pPr>
              <w:pStyle w:val="Tablecopyleft"/>
              <w:ind w:right="0"/>
              <w:rPr>
                <w:b w:val="0"/>
                <w:bCs/>
              </w:rPr>
            </w:pPr>
            <w:r w:rsidRPr="008D0AF5">
              <w:rPr>
                <w:b w:val="0"/>
                <w:bCs/>
              </w:rPr>
              <w:t>Global property</w:t>
            </w:r>
          </w:p>
        </w:tc>
        <w:tc>
          <w:tcPr>
            <w:tcW w:w="645" w:type="pct"/>
            <w:vAlign w:val="top"/>
          </w:tcPr>
          <w:p w:rsidRPr="00F21589" w:rsidR="005D7F28" w:rsidP="005D7F28" w:rsidRDefault="005D7F28" w14:paraId="443E176A" w14:textId="6B55D89B">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-0.3</w:t>
            </w:r>
          </w:p>
        </w:tc>
        <w:tc>
          <w:tcPr>
            <w:tcW w:w="903" w:type="pct"/>
            <w:vAlign w:val="top"/>
          </w:tcPr>
          <w:p w:rsidRPr="00F21589" w:rsidR="005D7F28" w:rsidP="005D7F28" w:rsidRDefault="005D7F28" w14:paraId="1D151660" w14:textId="2517D0AF">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-0.7</w:t>
            </w:r>
          </w:p>
        </w:tc>
        <w:tc>
          <w:tcPr>
            <w:tcW w:w="652" w:type="pct"/>
            <w:vAlign w:val="top"/>
          </w:tcPr>
          <w:p w:rsidRPr="00F21589" w:rsidR="005D7F28" w:rsidP="005D7F28" w:rsidRDefault="005D7F28" w14:paraId="4D0824AF" w14:textId="25B135BB">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-0.4</w:t>
            </w:r>
          </w:p>
        </w:tc>
        <w:tc>
          <w:tcPr>
            <w:tcW w:w="870" w:type="pct"/>
            <w:vAlign w:val="top"/>
          </w:tcPr>
          <w:p w:rsidRPr="00F21589" w:rsidR="005D7F28" w:rsidP="005D7F28" w:rsidRDefault="005D7F28" w14:paraId="4C74362C" w14:textId="7D8729F5">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-0.3</w:t>
            </w:r>
          </w:p>
        </w:tc>
        <w:tc>
          <w:tcPr>
            <w:tcW w:w="869" w:type="pct"/>
            <w:vAlign w:val="top"/>
          </w:tcPr>
          <w:p w:rsidRPr="009A2021" w:rsidR="005D7F28" w:rsidP="005D7F28" w:rsidRDefault="005D7F28" w14:paraId="52A02E98" w14:textId="4BBE1A11">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0.4</w:t>
            </w:r>
          </w:p>
        </w:tc>
      </w:tr>
      <w:tr w:rsidRPr="00F21589" w:rsidR="005D7F28" w:rsidTr="005D7F28" w14:paraId="31499D5A" w14:textId="02C7F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Align w:val="top"/>
          </w:tcPr>
          <w:p w:rsidRPr="008D0AF5" w:rsidR="005D7F28" w:rsidP="005D7F28" w:rsidRDefault="005D7F28" w14:paraId="5450ABA1" w14:textId="5E62180F">
            <w:pPr>
              <w:pStyle w:val="Tablecopyleft"/>
              <w:ind w:right="0"/>
              <w:rPr>
                <w:b w:val="0"/>
                <w:bCs/>
              </w:rPr>
            </w:pPr>
            <w:r w:rsidRPr="008D0AF5">
              <w:rPr>
                <w:b w:val="0"/>
                <w:bCs/>
              </w:rPr>
              <w:t>Infrastructure</w:t>
            </w:r>
          </w:p>
        </w:tc>
        <w:tc>
          <w:tcPr>
            <w:tcW w:w="645" w:type="pct"/>
            <w:vAlign w:val="top"/>
          </w:tcPr>
          <w:p w:rsidRPr="00F21589" w:rsidR="005D7F28" w:rsidP="005D7F28" w:rsidRDefault="005D7F28" w14:paraId="4C3C318C" w14:textId="7303E32E">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631A38">
              <w:t>0.5</w:t>
            </w:r>
          </w:p>
        </w:tc>
        <w:tc>
          <w:tcPr>
            <w:tcW w:w="903" w:type="pct"/>
            <w:vAlign w:val="top"/>
          </w:tcPr>
          <w:p w:rsidRPr="001660ED" w:rsidR="005D7F28" w:rsidP="005D7F28" w:rsidRDefault="005D7F28" w14:paraId="3C45ADFD" w14:textId="6BC3F5C2">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652" w:type="pct"/>
            <w:vAlign w:val="top"/>
          </w:tcPr>
          <w:p w:rsidRPr="001660ED" w:rsidR="005D7F28" w:rsidP="005D7F28" w:rsidRDefault="005D7F28" w14:paraId="58308C7D" w14:textId="4B9E4E8B">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870" w:type="pct"/>
            <w:vAlign w:val="top"/>
          </w:tcPr>
          <w:p w:rsidRPr="001660ED" w:rsidR="005D7F28" w:rsidP="005D7F28" w:rsidRDefault="005D7F28" w14:paraId="598A7F7C" w14:textId="68DFB3D5">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869" w:type="pct"/>
            <w:vAlign w:val="top"/>
          </w:tcPr>
          <w:p w:rsidRPr="001660ED" w:rsidR="005D7F28" w:rsidP="005D7F28" w:rsidRDefault="005D7F28" w14:paraId="4B8055EF" w14:textId="2E219255">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r>
      <w:tr w:rsidRPr="00F21589" w:rsidR="005D7F28" w:rsidTr="005D7F28" w14:paraId="73A98382" w14:textId="298B54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Align w:val="top"/>
          </w:tcPr>
          <w:p w:rsidRPr="008D0AF5" w:rsidR="005D7F28" w:rsidP="005D7F28" w:rsidRDefault="005D7F28" w14:paraId="4F1E3A00" w14:textId="1DC46183">
            <w:pPr>
              <w:pStyle w:val="Tablecopyleft"/>
              <w:ind w:right="0"/>
              <w:rPr>
                <w:b w:val="0"/>
                <w:bCs/>
              </w:rPr>
            </w:pPr>
            <w:r w:rsidRPr="008D0AF5">
              <w:rPr>
                <w:b w:val="0"/>
                <w:bCs/>
              </w:rPr>
              <w:t>Growth Alternatives</w:t>
            </w:r>
          </w:p>
        </w:tc>
        <w:tc>
          <w:tcPr>
            <w:tcW w:w="645" w:type="pct"/>
            <w:vAlign w:val="top"/>
          </w:tcPr>
          <w:p w:rsidRPr="001660ED" w:rsidR="005D7F28" w:rsidP="005D7F28" w:rsidRDefault="005D7F28" w14:paraId="0C310D91" w14:textId="2CF7BA60">
            <w:pPr>
              <w:pStyle w:val="Tablecopyleft"/>
              <w:ind w:right="0"/>
              <w:jc w:val="center"/>
              <w:cnfStyle w:val="000000010000" w:firstRow="0" w:lastRow="0" w:firstColumn="0" w:lastColumn="0" w:oddVBand="0" w:evenVBand="0" w:oddHBand="0" w:evenHBand="1" w:firstRowFirstColumn="0" w:firstRowLastColumn="0" w:lastRowFirstColumn="0" w:lastRowLastColumn="0"/>
              <w:rPr>
                <w:color w:val="7F7F7F" w:themeColor="text1" w:themeTint="80"/>
              </w:rPr>
            </w:pPr>
            <w:r w:rsidRPr="001660ED">
              <w:rPr>
                <w:color w:val="7F7F7F" w:themeColor="text1" w:themeTint="80"/>
              </w:rPr>
              <w:t>0.0</w:t>
            </w:r>
          </w:p>
        </w:tc>
        <w:tc>
          <w:tcPr>
            <w:tcW w:w="903" w:type="pct"/>
            <w:vAlign w:val="top"/>
          </w:tcPr>
          <w:p w:rsidRPr="001660ED" w:rsidR="005D7F28" w:rsidP="005D7F28" w:rsidRDefault="005D7F28" w14:paraId="50E225BA" w14:textId="72DA2CEC">
            <w:pPr>
              <w:pStyle w:val="Tablecopyleft"/>
              <w:ind w:right="0"/>
              <w:jc w:val="center"/>
              <w:cnfStyle w:val="000000010000" w:firstRow="0" w:lastRow="0" w:firstColumn="0" w:lastColumn="0" w:oddVBand="0" w:evenVBand="0" w:oddHBand="0" w:evenHBand="1" w:firstRowFirstColumn="0" w:firstRowLastColumn="0" w:lastRowFirstColumn="0" w:lastRowLastColumn="0"/>
              <w:rPr>
                <w:color w:val="7F7F7F" w:themeColor="text1" w:themeTint="80"/>
              </w:rPr>
            </w:pPr>
            <w:r w:rsidRPr="001660ED">
              <w:rPr>
                <w:color w:val="7F7F7F" w:themeColor="text1" w:themeTint="80"/>
              </w:rPr>
              <w:t>0.0</w:t>
            </w:r>
          </w:p>
        </w:tc>
        <w:tc>
          <w:tcPr>
            <w:tcW w:w="652" w:type="pct"/>
            <w:vAlign w:val="top"/>
          </w:tcPr>
          <w:p w:rsidRPr="001660ED" w:rsidR="005D7F28" w:rsidP="005D7F28" w:rsidRDefault="005D7F28" w14:paraId="0ECE374D" w14:textId="3E30B44F">
            <w:pPr>
              <w:pStyle w:val="Tablecopyleft"/>
              <w:ind w:right="0"/>
              <w:jc w:val="center"/>
              <w:cnfStyle w:val="000000010000" w:firstRow="0" w:lastRow="0" w:firstColumn="0" w:lastColumn="0" w:oddVBand="0" w:evenVBand="0" w:oddHBand="0" w:evenHBand="1" w:firstRowFirstColumn="0" w:firstRowLastColumn="0" w:lastRowFirstColumn="0" w:lastRowLastColumn="0"/>
              <w:rPr>
                <w:color w:val="7F7F7F" w:themeColor="text1" w:themeTint="80"/>
              </w:rPr>
            </w:pPr>
            <w:r w:rsidRPr="001660ED">
              <w:rPr>
                <w:color w:val="7F7F7F" w:themeColor="text1" w:themeTint="80"/>
              </w:rPr>
              <w:t>0.0</w:t>
            </w:r>
          </w:p>
        </w:tc>
        <w:tc>
          <w:tcPr>
            <w:tcW w:w="870" w:type="pct"/>
            <w:vAlign w:val="top"/>
          </w:tcPr>
          <w:p w:rsidRPr="001660ED" w:rsidR="005D7F28" w:rsidP="005D7F28" w:rsidRDefault="005D7F28" w14:paraId="182C3993" w14:textId="340CD047">
            <w:pPr>
              <w:pStyle w:val="Tablecopyleft"/>
              <w:ind w:right="0"/>
              <w:jc w:val="center"/>
              <w:cnfStyle w:val="000000010000" w:firstRow="0" w:lastRow="0" w:firstColumn="0" w:lastColumn="0" w:oddVBand="0" w:evenVBand="0" w:oddHBand="0" w:evenHBand="1" w:firstRowFirstColumn="0" w:firstRowLastColumn="0" w:lastRowFirstColumn="0" w:lastRowLastColumn="0"/>
              <w:rPr>
                <w:color w:val="7F7F7F" w:themeColor="text1" w:themeTint="80"/>
              </w:rPr>
            </w:pPr>
            <w:r w:rsidRPr="001660ED">
              <w:rPr>
                <w:color w:val="7F7F7F" w:themeColor="text1" w:themeTint="80"/>
              </w:rPr>
              <w:t>0.0</w:t>
            </w:r>
          </w:p>
        </w:tc>
        <w:tc>
          <w:tcPr>
            <w:tcW w:w="869" w:type="pct"/>
            <w:vAlign w:val="top"/>
          </w:tcPr>
          <w:p w:rsidRPr="001660ED" w:rsidR="005D7F28" w:rsidP="005D7F28" w:rsidRDefault="005D7F28" w14:paraId="6142A53A" w14:textId="7187A0C8">
            <w:pPr>
              <w:pStyle w:val="Tablecopyleft"/>
              <w:ind w:right="0"/>
              <w:jc w:val="center"/>
              <w:cnfStyle w:val="000000010000" w:firstRow="0" w:lastRow="0" w:firstColumn="0" w:lastColumn="0" w:oddVBand="0" w:evenVBand="0" w:oddHBand="0" w:evenHBand="1" w:firstRowFirstColumn="0" w:firstRowLastColumn="0" w:lastRowFirstColumn="0" w:lastRowLastColumn="0"/>
              <w:rPr>
                <w:color w:val="7F7F7F" w:themeColor="text1" w:themeTint="80"/>
              </w:rPr>
            </w:pPr>
            <w:r w:rsidRPr="001660ED">
              <w:rPr>
                <w:color w:val="7F7F7F" w:themeColor="text1" w:themeTint="80"/>
              </w:rPr>
              <w:t>0.0</w:t>
            </w:r>
          </w:p>
        </w:tc>
      </w:tr>
      <w:tr w:rsidRPr="00F21589" w:rsidR="005D7F28" w:rsidTr="005D7F28" w14:paraId="28999B94" w14:textId="50E5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Align w:val="top"/>
          </w:tcPr>
          <w:p w:rsidRPr="008D0AF5" w:rsidR="005D7F28" w:rsidP="005D7F28" w:rsidRDefault="005D7F28" w14:paraId="0A55FE77" w14:textId="11DD9F1B">
            <w:pPr>
              <w:pStyle w:val="Tablecopyleft"/>
              <w:ind w:right="0"/>
              <w:rPr>
                <w:b w:val="0"/>
                <w:bCs/>
              </w:rPr>
            </w:pPr>
            <w:r w:rsidRPr="008D0AF5">
              <w:rPr>
                <w:b w:val="0"/>
                <w:bCs/>
              </w:rPr>
              <w:t>Extended Credit</w:t>
            </w:r>
          </w:p>
        </w:tc>
        <w:tc>
          <w:tcPr>
            <w:tcW w:w="645" w:type="pct"/>
            <w:vAlign w:val="top"/>
          </w:tcPr>
          <w:p w:rsidRPr="001660ED" w:rsidR="005D7F28" w:rsidP="005D7F28" w:rsidRDefault="005D7F28" w14:paraId="19D5C34A" w14:textId="7D4817E9">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903" w:type="pct"/>
            <w:vAlign w:val="top"/>
          </w:tcPr>
          <w:p w:rsidRPr="001660ED" w:rsidR="005D7F28" w:rsidP="005D7F28" w:rsidRDefault="005D7F28" w14:paraId="38B1B67D" w14:textId="55E0FEDB">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652" w:type="pct"/>
            <w:vAlign w:val="top"/>
          </w:tcPr>
          <w:p w:rsidRPr="001660ED" w:rsidR="005D7F28" w:rsidP="005D7F28" w:rsidRDefault="005D7F28" w14:paraId="14B2B3A0" w14:textId="502B263B">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870" w:type="pct"/>
            <w:vAlign w:val="top"/>
          </w:tcPr>
          <w:p w:rsidRPr="001660ED" w:rsidR="005D7F28" w:rsidP="005D7F28" w:rsidRDefault="005D7F28" w14:paraId="26A1CF47" w14:textId="5221C71C">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869" w:type="pct"/>
            <w:vAlign w:val="top"/>
          </w:tcPr>
          <w:p w:rsidRPr="001660ED" w:rsidR="005D7F28" w:rsidP="005D7F28" w:rsidRDefault="005D7F28" w14:paraId="0170B68C" w14:textId="5CA50933">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r>
      <w:tr w:rsidRPr="00DB2540" w:rsidR="005D7F28" w:rsidTr="005D7F28" w14:paraId="24E9203B" w14:textId="6C2A00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Align w:val="top"/>
          </w:tcPr>
          <w:p w:rsidRPr="009941AC" w:rsidR="005D7F28" w:rsidP="005D7F28" w:rsidRDefault="005D7F28" w14:paraId="7AD8D94D" w14:textId="7E2D9157">
            <w:pPr>
              <w:pStyle w:val="Tablecopyleft"/>
              <w:ind w:right="0"/>
              <w:rPr>
                <w:color w:val="165EDA" w:themeColor="accent2"/>
              </w:rPr>
            </w:pPr>
            <w:r w:rsidRPr="009941AC">
              <w:rPr>
                <w:color w:val="165EDA" w:themeColor="accent2"/>
              </w:rPr>
              <w:t>DEFENSIVE</w:t>
            </w:r>
          </w:p>
        </w:tc>
        <w:tc>
          <w:tcPr>
            <w:tcW w:w="645" w:type="pct"/>
            <w:vAlign w:val="top"/>
          </w:tcPr>
          <w:p w:rsidRPr="005D7F28" w:rsidR="005D7F28" w:rsidP="005D7F28" w:rsidRDefault="005D7F28" w14:paraId="083C5257" w14:textId="4D4247BA">
            <w:pPr>
              <w:pStyle w:val="Tablecopyleft"/>
              <w:ind w:right="0"/>
              <w:jc w:val="center"/>
              <w:cnfStyle w:val="000000010000" w:firstRow="0" w:lastRow="0" w:firstColumn="0" w:lastColumn="0" w:oddVBand="0" w:evenVBand="0" w:oddHBand="0" w:evenHBand="1" w:firstRowFirstColumn="0" w:firstRowLastColumn="0" w:lastRowFirstColumn="0" w:lastRowLastColumn="0"/>
              <w:rPr>
                <w:b/>
                <w:bCs/>
                <w:color w:val="165EDA" w:themeColor="accent2"/>
              </w:rPr>
            </w:pPr>
            <w:r w:rsidRPr="005D7F28">
              <w:rPr>
                <w:b/>
                <w:bCs/>
                <w:color w:val="165EDA" w:themeColor="accent2"/>
              </w:rPr>
              <w:t>-0.4</w:t>
            </w:r>
          </w:p>
        </w:tc>
        <w:tc>
          <w:tcPr>
            <w:tcW w:w="903" w:type="pct"/>
            <w:vAlign w:val="top"/>
          </w:tcPr>
          <w:p w:rsidRPr="005D7F28" w:rsidR="005D7F28" w:rsidP="005D7F28" w:rsidRDefault="005D7F28" w14:paraId="0D2F9060" w14:textId="161FF2D1">
            <w:pPr>
              <w:pStyle w:val="Tablecopyleft"/>
              <w:ind w:right="0"/>
              <w:jc w:val="center"/>
              <w:cnfStyle w:val="000000010000" w:firstRow="0" w:lastRow="0" w:firstColumn="0" w:lastColumn="0" w:oddVBand="0" w:evenVBand="0" w:oddHBand="0" w:evenHBand="1" w:firstRowFirstColumn="0" w:firstRowLastColumn="0" w:lastRowFirstColumn="0" w:lastRowLastColumn="0"/>
              <w:rPr>
                <w:b/>
                <w:bCs/>
                <w:color w:val="165EDA" w:themeColor="accent2"/>
              </w:rPr>
            </w:pPr>
            <w:r w:rsidRPr="005D7F28">
              <w:rPr>
                <w:b/>
                <w:bCs/>
                <w:color w:val="165EDA" w:themeColor="accent2"/>
              </w:rPr>
              <w:t>-0.4</w:t>
            </w:r>
          </w:p>
        </w:tc>
        <w:tc>
          <w:tcPr>
            <w:tcW w:w="652" w:type="pct"/>
            <w:vAlign w:val="top"/>
          </w:tcPr>
          <w:p w:rsidRPr="005D7F28" w:rsidR="005D7F28" w:rsidP="005D7F28" w:rsidRDefault="005D7F28" w14:paraId="74C27243" w14:textId="089F482E">
            <w:pPr>
              <w:pStyle w:val="Tablecopyleft"/>
              <w:ind w:right="0"/>
              <w:jc w:val="center"/>
              <w:cnfStyle w:val="000000010000" w:firstRow="0" w:lastRow="0" w:firstColumn="0" w:lastColumn="0" w:oddVBand="0" w:evenVBand="0" w:oddHBand="0" w:evenHBand="1" w:firstRowFirstColumn="0" w:firstRowLastColumn="0" w:lastRowFirstColumn="0" w:lastRowLastColumn="0"/>
              <w:rPr>
                <w:b/>
                <w:bCs/>
                <w:color w:val="165EDA" w:themeColor="accent2"/>
              </w:rPr>
            </w:pPr>
            <w:r w:rsidRPr="005D7F28">
              <w:rPr>
                <w:b/>
                <w:bCs/>
                <w:color w:val="165EDA" w:themeColor="accent2"/>
              </w:rPr>
              <w:t>-1.5</w:t>
            </w:r>
          </w:p>
        </w:tc>
        <w:tc>
          <w:tcPr>
            <w:tcW w:w="870" w:type="pct"/>
            <w:vAlign w:val="top"/>
          </w:tcPr>
          <w:p w:rsidRPr="005D7F28" w:rsidR="005D7F28" w:rsidP="005D7F28" w:rsidRDefault="005D7F28" w14:paraId="62A667CD" w14:textId="6D86F3CA">
            <w:pPr>
              <w:pStyle w:val="Tablecopyleft"/>
              <w:ind w:right="0"/>
              <w:jc w:val="center"/>
              <w:cnfStyle w:val="000000010000" w:firstRow="0" w:lastRow="0" w:firstColumn="0" w:lastColumn="0" w:oddVBand="0" w:evenVBand="0" w:oddHBand="0" w:evenHBand="1" w:firstRowFirstColumn="0" w:firstRowLastColumn="0" w:lastRowFirstColumn="0" w:lastRowLastColumn="0"/>
              <w:rPr>
                <w:b/>
                <w:bCs/>
                <w:color w:val="165EDA" w:themeColor="accent2"/>
              </w:rPr>
            </w:pPr>
            <w:r w:rsidRPr="005D7F28">
              <w:rPr>
                <w:b/>
                <w:bCs/>
                <w:color w:val="165EDA" w:themeColor="accent2"/>
              </w:rPr>
              <w:t>-1.3</w:t>
            </w:r>
          </w:p>
        </w:tc>
        <w:tc>
          <w:tcPr>
            <w:tcW w:w="869" w:type="pct"/>
            <w:vAlign w:val="top"/>
          </w:tcPr>
          <w:p w:rsidRPr="005D7F28" w:rsidR="005D7F28" w:rsidP="005D7F28" w:rsidRDefault="005D7F28" w14:paraId="22502C98" w14:textId="52921261">
            <w:pPr>
              <w:pStyle w:val="Tablecopyleft"/>
              <w:ind w:right="0"/>
              <w:jc w:val="center"/>
              <w:cnfStyle w:val="000000010000" w:firstRow="0" w:lastRow="0" w:firstColumn="0" w:lastColumn="0" w:oddVBand="0" w:evenVBand="0" w:oddHBand="0" w:evenHBand="1" w:firstRowFirstColumn="0" w:firstRowLastColumn="0" w:lastRowFirstColumn="0" w:lastRowLastColumn="0"/>
              <w:rPr>
                <w:b/>
                <w:bCs/>
                <w:color w:val="165EDA" w:themeColor="accent2"/>
              </w:rPr>
            </w:pPr>
            <w:r w:rsidRPr="005D7F28">
              <w:rPr>
                <w:b/>
                <w:bCs/>
                <w:color w:val="165EDA" w:themeColor="accent2"/>
              </w:rPr>
              <w:t>-0.1</w:t>
            </w:r>
          </w:p>
        </w:tc>
      </w:tr>
      <w:tr w:rsidRPr="00F21589" w:rsidR="005D7F28" w:rsidTr="005D7F28" w14:paraId="1921648D" w14:textId="7AD0D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Align w:val="top"/>
          </w:tcPr>
          <w:p w:rsidRPr="008D0AF5" w:rsidR="005D7F28" w:rsidP="005D7F28" w:rsidRDefault="005D7F28" w14:paraId="61C16B22" w14:textId="352DC233">
            <w:pPr>
              <w:pStyle w:val="Tablecopyleft"/>
              <w:ind w:right="0"/>
              <w:rPr>
                <w:b w:val="0"/>
                <w:bCs/>
              </w:rPr>
            </w:pPr>
            <w:r w:rsidRPr="008D0AF5">
              <w:rPr>
                <w:b w:val="0"/>
                <w:bCs/>
              </w:rPr>
              <w:t>Loans &amp; Absolute return credit</w:t>
            </w:r>
          </w:p>
        </w:tc>
        <w:tc>
          <w:tcPr>
            <w:tcW w:w="645" w:type="pct"/>
            <w:vAlign w:val="top"/>
          </w:tcPr>
          <w:p w:rsidRPr="001660ED" w:rsidR="005D7F28" w:rsidP="005D7F28" w:rsidRDefault="005D7F28" w14:paraId="7ED97A04" w14:textId="216C4A62">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903" w:type="pct"/>
            <w:vAlign w:val="top"/>
          </w:tcPr>
          <w:p w:rsidRPr="001660ED" w:rsidR="005D7F28" w:rsidP="005D7F28" w:rsidRDefault="005D7F28" w14:paraId="782AF94A" w14:textId="6FD4EE77">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652" w:type="pct"/>
            <w:vAlign w:val="top"/>
          </w:tcPr>
          <w:p w:rsidRPr="001660ED" w:rsidR="005D7F28" w:rsidP="005D7F28" w:rsidRDefault="005D7F28" w14:paraId="23AA863E" w14:textId="186CE5C5">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870" w:type="pct"/>
            <w:vAlign w:val="top"/>
          </w:tcPr>
          <w:p w:rsidRPr="001660ED" w:rsidR="005D7F28" w:rsidP="005D7F28" w:rsidRDefault="005D7F28" w14:paraId="5FECC3D3" w14:textId="2D07072D">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869" w:type="pct"/>
            <w:vAlign w:val="top"/>
          </w:tcPr>
          <w:p w:rsidRPr="001660ED" w:rsidR="005D7F28" w:rsidP="005D7F28" w:rsidRDefault="005D7F28" w14:paraId="393ADB32" w14:textId="1B4CB2D0">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r>
      <w:tr w:rsidRPr="00F21589" w:rsidR="005D7F28" w:rsidTr="005D7F28" w14:paraId="1F69F283" w14:textId="5BC4C0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Align w:val="top"/>
          </w:tcPr>
          <w:p w:rsidRPr="008D0AF5" w:rsidR="005D7F28" w:rsidP="005D7F28" w:rsidRDefault="005D7F28" w14:paraId="05B4B457" w14:textId="377FE14A">
            <w:pPr>
              <w:pStyle w:val="Tablecopyleft"/>
              <w:ind w:right="0"/>
              <w:rPr>
                <w:b w:val="0"/>
                <w:bCs/>
              </w:rPr>
            </w:pPr>
            <w:r w:rsidRPr="008D0AF5">
              <w:rPr>
                <w:b w:val="0"/>
                <w:bCs/>
              </w:rPr>
              <w:t>Australian Fixed Income</w:t>
            </w:r>
          </w:p>
        </w:tc>
        <w:tc>
          <w:tcPr>
            <w:tcW w:w="645" w:type="pct"/>
            <w:vAlign w:val="top"/>
          </w:tcPr>
          <w:p w:rsidRPr="00E04851" w:rsidR="005D7F28" w:rsidP="005D7F28" w:rsidRDefault="005D7F28" w14:paraId="762E696F" w14:textId="5CA2ABD0">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1.1</w:t>
            </w:r>
          </w:p>
        </w:tc>
        <w:tc>
          <w:tcPr>
            <w:tcW w:w="903" w:type="pct"/>
            <w:vAlign w:val="top"/>
          </w:tcPr>
          <w:p w:rsidRPr="00E04851" w:rsidR="005D7F28" w:rsidP="005D7F28" w:rsidRDefault="005D7F28" w14:paraId="6D8FC62D" w14:textId="6B67D9BE">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1.5</w:t>
            </w:r>
          </w:p>
        </w:tc>
        <w:tc>
          <w:tcPr>
            <w:tcW w:w="652" w:type="pct"/>
            <w:vAlign w:val="top"/>
          </w:tcPr>
          <w:p w:rsidRPr="001660ED" w:rsidR="005D7F28" w:rsidP="005D7F28" w:rsidRDefault="005D7F28" w14:paraId="3FB2A5A8" w14:textId="07062264">
            <w:pPr>
              <w:pStyle w:val="Tablecopyleft"/>
              <w:ind w:right="0"/>
              <w:jc w:val="center"/>
              <w:cnfStyle w:val="000000010000" w:firstRow="0" w:lastRow="0" w:firstColumn="0" w:lastColumn="0" w:oddVBand="0" w:evenVBand="0" w:oddHBand="0" w:evenHBand="1" w:firstRowFirstColumn="0" w:firstRowLastColumn="0" w:lastRowFirstColumn="0" w:lastRowLastColumn="0"/>
              <w:rPr>
                <w:color w:val="7F7F7F" w:themeColor="text1" w:themeTint="80"/>
              </w:rPr>
            </w:pPr>
            <w:r w:rsidRPr="001660ED">
              <w:rPr>
                <w:color w:val="7F7F7F" w:themeColor="text1" w:themeTint="80"/>
              </w:rPr>
              <w:t>0.0</w:t>
            </w:r>
          </w:p>
        </w:tc>
        <w:tc>
          <w:tcPr>
            <w:tcW w:w="870" w:type="pct"/>
            <w:vAlign w:val="top"/>
          </w:tcPr>
          <w:p w:rsidRPr="001660ED" w:rsidR="005D7F28" w:rsidP="005D7F28" w:rsidRDefault="005D7F28" w14:paraId="4389FADE" w14:textId="79CE4D9E">
            <w:pPr>
              <w:pStyle w:val="Tablecopyleft"/>
              <w:ind w:right="0"/>
              <w:jc w:val="center"/>
              <w:cnfStyle w:val="000000010000" w:firstRow="0" w:lastRow="0" w:firstColumn="0" w:lastColumn="0" w:oddVBand="0" w:evenVBand="0" w:oddHBand="0" w:evenHBand="1" w:firstRowFirstColumn="0" w:firstRowLastColumn="0" w:lastRowFirstColumn="0" w:lastRowLastColumn="0"/>
              <w:rPr>
                <w:color w:val="7F7F7F" w:themeColor="text1" w:themeTint="80"/>
              </w:rPr>
            </w:pPr>
            <w:r w:rsidRPr="001660ED">
              <w:rPr>
                <w:color w:val="7F7F7F" w:themeColor="text1" w:themeTint="80"/>
              </w:rPr>
              <w:t>0.0</w:t>
            </w:r>
          </w:p>
        </w:tc>
        <w:tc>
          <w:tcPr>
            <w:tcW w:w="869" w:type="pct"/>
            <w:vAlign w:val="top"/>
          </w:tcPr>
          <w:p w:rsidRPr="001660ED" w:rsidR="005D7F28" w:rsidP="005D7F28" w:rsidRDefault="005D7F28" w14:paraId="262996D8" w14:textId="4AB97924">
            <w:pPr>
              <w:pStyle w:val="Tablecopyleft"/>
              <w:ind w:right="0"/>
              <w:jc w:val="center"/>
              <w:cnfStyle w:val="000000010000" w:firstRow="0" w:lastRow="0" w:firstColumn="0" w:lastColumn="0" w:oddVBand="0" w:evenVBand="0" w:oddHBand="0" w:evenHBand="1" w:firstRowFirstColumn="0" w:firstRowLastColumn="0" w:lastRowFirstColumn="0" w:lastRowLastColumn="0"/>
              <w:rPr>
                <w:color w:val="7F7F7F" w:themeColor="text1" w:themeTint="80"/>
              </w:rPr>
            </w:pPr>
            <w:r w:rsidRPr="001660ED">
              <w:rPr>
                <w:color w:val="7F7F7F" w:themeColor="text1" w:themeTint="80"/>
              </w:rPr>
              <w:t>0.0</w:t>
            </w:r>
          </w:p>
        </w:tc>
      </w:tr>
      <w:tr w:rsidRPr="00F21589" w:rsidR="005D7F28" w:rsidTr="005D7F28" w14:paraId="3BB4795B" w14:textId="2EBA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Align w:val="top"/>
          </w:tcPr>
          <w:p w:rsidRPr="008D0AF5" w:rsidR="005D7F28" w:rsidP="005D7F28" w:rsidRDefault="005D7F28" w14:paraId="4CFEB795" w14:textId="3FF2A7A7">
            <w:pPr>
              <w:pStyle w:val="Tablecopyleft"/>
              <w:ind w:right="0"/>
              <w:rPr>
                <w:b w:val="0"/>
                <w:bCs/>
              </w:rPr>
            </w:pPr>
            <w:r w:rsidRPr="008D0AF5">
              <w:rPr>
                <w:b w:val="0"/>
                <w:bCs/>
              </w:rPr>
              <w:t>Global Fixed Income</w:t>
            </w:r>
          </w:p>
        </w:tc>
        <w:tc>
          <w:tcPr>
            <w:tcW w:w="645" w:type="pct"/>
            <w:vAlign w:val="top"/>
          </w:tcPr>
          <w:p w:rsidRPr="00E04851" w:rsidR="005D7F28" w:rsidP="005D7F28" w:rsidRDefault="005D7F28" w14:paraId="3BF08A8C" w14:textId="0943F5AA">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1660ED">
              <w:rPr>
                <w:color w:val="7F7F7F" w:themeColor="text1" w:themeTint="80"/>
              </w:rPr>
              <w:t>0.0</w:t>
            </w:r>
          </w:p>
        </w:tc>
        <w:tc>
          <w:tcPr>
            <w:tcW w:w="903" w:type="pct"/>
            <w:vAlign w:val="top"/>
          </w:tcPr>
          <w:p w:rsidRPr="00E04851" w:rsidR="005D7F28" w:rsidP="005D7F28" w:rsidRDefault="005D7F28" w14:paraId="15FFF846" w14:textId="604BC08D">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631A38">
              <w:t>-0.5</w:t>
            </w:r>
          </w:p>
        </w:tc>
        <w:tc>
          <w:tcPr>
            <w:tcW w:w="652" w:type="pct"/>
            <w:vAlign w:val="top"/>
          </w:tcPr>
          <w:p w:rsidRPr="00E04851" w:rsidR="005D7F28" w:rsidP="005D7F28" w:rsidRDefault="005D7F28" w14:paraId="17E45FFC" w14:textId="4F18EA7A">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631A38">
              <w:t>-0.5</w:t>
            </w:r>
          </w:p>
        </w:tc>
        <w:tc>
          <w:tcPr>
            <w:tcW w:w="870" w:type="pct"/>
            <w:vAlign w:val="top"/>
          </w:tcPr>
          <w:p w:rsidRPr="001660ED" w:rsidR="005D7F28" w:rsidP="005D7F28" w:rsidRDefault="005D7F28" w14:paraId="2F43161F" w14:textId="2A94C0FF">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869" w:type="pct"/>
            <w:vAlign w:val="top"/>
          </w:tcPr>
          <w:p w:rsidRPr="001660ED" w:rsidR="005D7F28" w:rsidP="005D7F28" w:rsidRDefault="005D7F28" w14:paraId="41F57956" w14:textId="11D02769">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r>
      <w:tr w:rsidRPr="00F21589" w:rsidR="005D7F28" w:rsidTr="005D7F28" w14:paraId="5AA6698B" w14:textId="3B3ACD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Align w:val="top"/>
          </w:tcPr>
          <w:p w:rsidRPr="008D0AF5" w:rsidR="005D7F28" w:rsidP="005D7F28" w:rsidRDefault="005D7F28" w14:paraId="0049B063" w14:textId="5B168E5A">
            <w:pPr>
              <w:pStyle w:val="Tablecopyleft"/>
              <w:ind w:right="0"/>
              <w:rPr>
                <w:b w:val="0"/>
                <w:bCs/>
              </w:rPr>
            </w:pPr>
            <w:r w:rsidRPr="008D0AF5">
              <w:rPr>
                <w:b w:val="0"/>
                <w:bCs/>
              </w:rPr>
              <w:t>Defensive Alternatives</w:t>
            </w:r>
          </w:p>
        </w:tc>
        <w:tc>
          <w:tcPr>
            <w:tcW w:w="645" w:type="pct"/>
            <w:vAlign w:val="top"/>
          </w:tcPr>
          <w:p w:rsidRPr="001660ED" w:rsidR="005D7F28" w:rsidP="005D7F28" w:rsidRDefault="005D7F28" w14:paraId="7C36EA99" w14:textId="6E40E209">
            <w:pPr>
              <w:pStyle w:val="Tablecopyleft"/>
              <w:ind w:right="0"/>
              <w:jc w:val="center"/>
              <w:cnfStyle w:val="000000010000" w:firstRow="0" w:lastRow="0" w:firstColumn="0" w:lastColumn="0" w:oddVBand="0" w:evenVBand="0" w:oddHBand="0" w:evenHBand="1" w:firstRowFirstColumn="0" w:firstRowLastColumn="0" w:lastRowFirstColumn="0" w:lastRowLastColumn="0"/>
              <w:rPr>
                <w:color w:val="7F7F7F" w:themeColor="text1" w:themeTint="80"/>
              </w:rPr>
            </w:pPr>
            <w:r w:rsidRPr="001660ED">
              <w:rPr>
                <w:color w:val="7F7F7F" w:themeColor="text1" w:themeTint="80"/>
              </w:rPr>
              <w:t>0.0</w:t>
            </w:r>
          </w:p>
        </w:tc>
        <w:tc>
          <w:tcPr>
            <w:tcW w:w="903" w:type="pct"/>
            <w:vAlign w:val="top"/>
          </w:tcPr>
          <w:p w:rsidRPr="001660ED" w:rsidR="005D7F28" w:rsidP="005D7F28" w:rsidRDefault="005D7F28" w14:paraId="61D2F494" w14:textId="252BC828">
            <w:pPr>
              <w:pStyle w:val="Tablecopyleft"/>
              <w:ind w:right="0"/>
              <w:jc w:val="center"/>
              <w:cnfStyle w:val="000000010000" w:firstRow="0" w:lastRow="0" w:firstColumn="0" w:lastColumn="0" w:oddVBand="0" w:evenVBand="0" w:oddHBand="0" w:evenHBand="1" w:firstRowFirstColumn="0" w:firstRowLastColumn="0" w:lastRowFirstColumn="0" w:lastRowLastColumn="0"/>
              <w:rPr>
                <w:color w:val="7F7F7F" w:themeColor="text1" w:themeTint="80"/>
              </w:rPr>
            </w:pPr>
            <w:r w:rsidRPr="001660ED">
              <w:rPr>
                <w:color w:val="7F7F7F" w:themeColor="text1" w:themeTint="80"/>
              </w:rPr>
              <w:t>0.0</w:t>
            </w:r>
          </w:p>
        </w:tc>
        <w:tc>
          <w:tcPr>
            <w:tcW w:w="652" w:type="pct"/>
            <w:vAlign w:val="top"/>
          </w:tcPr>
          <w:p w:rsidRPr="001660ED" w:rsidR="005D7F28" w:rsidP="005D7F28" w:rsidRDefault="005D7F28" w14:paraId="74FDBB7D" w14:textId="7342D9C3">
            <w:pPr>
              <w:pStyle w:val="Tablecopyleft"/>
              <w:ind w:right="0"/>
              <w:jc w:val="center"/>
              <w:cnfStyle w:val="000000010000" w:firstRow="0" w:lastRow="0" w:firstColumn="0" w:lastColumn="0" w:oddVBand="0" w:evenVBand="0" w:oddHBand="0" w:evenHBand="1" w:firstRowFirstColumn="0" w:firstRowLastColumn="0" w:lastRowFirstColumn="0" w:lastRowLastColumn="0"/>
              <w:rPr>
                <w:color w:val="7F7F7F" w:themeColor="text1" w:themeTint="80"/>
              </w:rPr>
            </w:pPr>
            <w:r w:rsidRPr="001660ED">
              <w:rPr>
                <w:color w:val="7F7F7F" w:themeColor="text1" w:themeTint="80"/>
              </w:rPr>
              <w:t>0.0</w:t>
            </w:r>
          </w:p>
        </w:tc>
        <w:tc>
          <w:tcPr>
            <w:tcW w:w="870" w:type="pct"/>
            <w:vAlign w:val="top"/>
          </w:tcPr>
          <w:p w:rsidRPr="001660ED" w:rsidR="005D7F28" w:rsidP="005D7F28" w:rsidRDefault="005D7F28" w14:paraId="450E8F90" w14:textId="7FA3611F">
            <w:pPr>
              <w:pStyle w:val="Tablecopyleft"/>
              <w:ind w:right="0"/>
              <w:jc w:val="center"/>
              <w:cnfStyle w:val="000000010000" w:firstRow="0" w:lastRow="0" w:firstColumn="0" w:lastColumn="0" w:oddVBand="0" w:evenVBand="0" w:oddHBand="0" w:evenHBand="1" w:firstRowFirstColumn="0" w:firstRowLastColumn="0" w:lastRowFirstColumn="0" w:lastRowLastColumn="0"/>
              <w:rPr>
                <w:color w:val="7F7F7F" w:themeColor="text1" w:themeTint="80"/>
              </w:rPr>
            </w:pPr>
            <w:r w:rsidRPr="001660ED">
              <w:rPr>
                <w:color w:val="7F7F7F" w:themeColor="text1" w:themeTint="80"/>
              </w:rPr>
              <w:t>0.0</w:t>
            </w:r>
          </w:p>
        </w:tc>
        <w:tc>
          <w:tcPr>
            <w:tcW w:w="869" w:type="pct"/>
            <w:vAlign w:val="top"/>
          </w:tcPr>
          <w:p w:rsidRPr="001660ED" w:rsidR="005D7F28" w:rsidP="005D7F28" w:rsidRDefault="005D7F28" w14:paraId="59F3AE60" w14:textId="416E7DA2">
            <w:pPr>
              <w:pStyle w:val="Tablecopyleft"/>
              <w:ind w:right="0"/>
              <w:jc w:val="center"/>
              <w:cnfStyle w:val="000000010000" w:firstRow="0" w:lastRow="0" w:firstColumn="0" w:lastColumn="0" w:oddVBand="0" w:evenVBand="0" w:oddHBand="0" w:evenHBand="1" w:firstRowFirstColumn="0" w:firstRowLastColumn="0" w:lastRowFirstColumn="0" w:lastRowLastColumn="0"/>
              <w:rPr>
                <w:color w:val="7F7F7F" w:themeColor="text1" w:themeTint="80"/>
              </w:rPr>
            </w:pPr>
            <w:r w:rsidRPr="001660ED">
              <w:rPr>
                <w:color w:val="7F7F7F" w:themeColor="text1" w:themeTint="80"/>
              </w:rPr>
              <w:t>0.0</w:t>
            </w:r>
          </w:p>
        </w:tc>
      </w:tr>
      <w:tr w:rsidRPr="00F21589" w:rsidR="005D7F28" w:rsidTr="005D7F28" w14:paraId="4560635B" w14:textId="696B6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Align w:val="top"/>
          </w:tcPr>
          <w:p w:rsidRPr="008D0AF5" w:rsidR="005D7F28" w:rsidP="005D7F28" w:rsidRDefault="005D7F28" w14:paraId="39333FE2" w14:textId="0B6006FD">
            <w:pPr>
              <w:pStyle w:val="Tablecopyleft"/>
              <w:ind w:right="0"/>
              <w:rPr>
                <w:b w:val="0"/>
                <w:bCs/>
              </w:rPr>
            </w:pPr>
            <w:r w:rsidRPr="008D0AF5">
              <w:rPr>
                <w:b w:val="0"/>
                <w:bCs/>
              </w:rPr>
              <w:t>Short-term credit</w:t>
            </w:r>
          </w:p>
        </w:tc>
        <w:tc>
          <w:tcPr>
            <w:tcW w:w="645" w:type="pct"/>
            <w:vAlign w:val="top"/>
          </w:tcPr>
          <w:p w:rsidRPr="001660ED" w:rsidR="005D7F28" w:rsidP="005D7F28" w:rsidRDefault="005D7F28" w14:paraId="2AC23956" w14:textId="2FF436E5">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903" w:type="pct"/>
            <w:vAlign w:val="top"/>
          </w:tcPr>
          <w:p w:rsidRPr="001660ED" w:rsidR="005D7F28" w:rsidP="005D7F28" w:rsidRDefault="005D7F28" w14:paraId="781E5C80" w14:textId="37D5ED97">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652" w:type="pct"/>
            <w:vAlign w:val="top"/>
          </w:tcPr>
          <w:p w:rsidRPr="001660ED" w:rsidR="005D7F28" w:rsidP="005D7F28" w:rsidRDefault="005D7F28" w14:paraId="3FCF868C" w14:textId="512BB278">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870" w:type="pct"/>
            <w:vAlign w:val="top"/>
          </w:tcPr>
          <w:p w:rsidRPr="001660ED" w:rsidR="005D7F28" w:rsidP="005D7F28" w:rsidRDefault="005D7F28" w14:paraId="17698001" w14:textId="5767D74F">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c>
          <w:tcPr>
            <w:tcW w:w="869" w:type="pct"/>
            <w:vAlign w:val="top"/>
          </w:tcPr>
          <w:p w:rsidRPr="001660ED" w:rsidR="005D7F28" w:rsidP="005D7F28" w:rsidRDefault="005D7F28" w14:paraId="57A55531" w14:textId="54563272">
            <w:pPr>
              <w:pStyle w:val="Tablecopyleft"/>
              <w:ind w:right="0"/>
              <w:jc w:val="center"/>
              <w:cnfStyle w:val="000000100000" w:firstRow="0" w:lastRow="0" w:firstColumn="0" w:lastColumn="0" w:oddVBand="0" w:evenVBand="0" w:oddHBand="1" w:evenHBand="0" w:firstRowFirstColumn="0" w:firstRowLastColumn="0" w:lastRowFirstColumn="0" w:lastRowLastColumn="0"/>
              <w:rPr>
                <w:color w:val="7F7F7F" w:themeColor="text1" w:themeTint="80"/>
              </w:rPr>
            </w:pPr>
            <w:r w:rsidRPr="001660ED">
              <w:rPr>
                <w:color w:val="7F7F7F" w:themeColor="text1" w:themeTint="80"/>
              </w:rPr>
              <w:t>0.0</w:t>
            </w:r>
          </w:p>
        </w:tc>
      </w:tr>
      <w:tr w:rsidRPr="00F21589" w:rsidR="005D7F28" w:rsidTr="005D7F28" w14:paraId="5A5CF74F" w14:textId="72D743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vAlign w:val="top"/>
          </w:tcPr>
          <w:p w:rsidRPr="008D0AF5" w:rsidR="005D7F28" w:rsidP="005D7F28" w:rsidRDefault="005D7F28" w14:paraId="5DD7AE46" w14:textId="7DF8C7C9">
            <w:pPr>
              <w:pStyle w:val="Tablecopyleft"/>
              <w:ind w:right="0"/>
              <w:rPr>
                <w:b w:val="0"/>
                <w:bCs/>
              </w:rPr>
            </w:pPr>
            <w:r w:rsidRPr="008D0AF5">
              <w:rPr>
                <w:b w:val="0"/>
                <w:bCs/>
              </w:rPr>
              <w:t>Cash</w:t>
            </w:r>
          </w:p>
        </w:tc>
        <w:tc>
          <w:tcPr>
            <w:tcW w:w="645" w:type="pct"/>
            <w:vAlign w:val="top"/>
          </w:tcPr>
          <w:p w:rsidRPr="00E04851" w:rsidR="005D7F28" w:rsidP="005D7F28" w:rsidRDefault="005D7F28" w14:paraId="2A094B09" w14:textId="0FD97AD9">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-1.5</w:t>
            </w:r>
          </w:p>
        </w:tc>
        <w:tc>
          <w:tcPr>
            <w:tcW w:w="903" w:type="pct"/>
            <w:vAlign w:val="top"/>
          </w:tcPr>
          <w:p w:rsidRPr="00E04851" w:rsidR="005D7F28" w:rsidP="005D7F28" w:rsidRDefault="005D7F28" w14:paraId="419060CD" w14:textId="388060AC">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-1.4</w:t>
            </w:r>
          </w:p>
        </w:tc>
        <w:tc>
          <w:tcPr>
            <w:tcW w:w="652" w:type="pct"/>
            <w:vAlign w:val="top"/>
          </w:tcPr>
          <w:p w:rsidRPr="00E04851" w:rsidR="005D7F28" w:rsidP="005D7F28" w:rsidRDefault="005D7F28" w14:paraId="5ADE6BB7" w14:textId="77282659">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-1.0</w:t>
            </w:r>
          </w:p>
        </w:tc>
        <w:tc>
          <w:tcPr>
            <w:tcW w:w="870" w:type="pct"/>
            <w:vAlign w:val="top"/>
          </w:tcPr>
          <w:p w:rsidRPr="00E04851" w:rsidR="005D7F28" w:rsidP="005D7F28" w:rsidRDefault="005D7F28" w14:paraId="21D7441E" w14:textId="67979E46">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-1.3</w:t>
            </w:r>
          </w:p>
        </w:tc>
        <w:tc>
          <w:tcPr>
            <w:tcW w:w="869" w:type="pct"/>
            <w:vAlign w:val="top"/>
          </w:tcPr>
          <w:p w:rsidRPr="009A2021" w:rsidR="005D7F28" w:rsidP="005D7F28" w:rsidRDefault="005D7F28" w14:paraId="474E6527" w14:textId="126063E7">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631A38">
              <w:t>-0.1</w:t>
            </w:r>
          </w:p>
        </w:tc>
      </w:tr>
    </w:tbl>
    <w:p w:rsidR="009C33C3" w:rsidP="00AB2D5C" w:rsidRDefault="009C33C3" w14:paraId="3EE3808A" w14:textId="77777777">
      <w:pPr>
        <w:spacing w:after="280" w:line="280" w:lineRule="exact"/>
        <w:ind w:firstLine="187"/>
      </w:pPr>
    </w:p>
    <w:p w:rsidR="009C33C3" w:rsidP="00AB2D5C" w:rsidRDefault="009C33C3" w14:paraId="38C7087F" w14:textId="2625FC03">
      <w:pPr>
        <w:pStyle w:val="Heading1"/>
      </w:pPr>
      <w:r w:rsidRPr="009C33C3">
        <w:t>Final asset class allocations after these changes (%)</w:t>
      </w:r>
      <w:r w:rsidR="00AB2D5C">
        <w:rPr>
          <w:rStyle w:val="FootnoteReference"/>
        </w:rPr>
        <w:footnoteReference w:id="1"/>
      </w:r>
    </w:p>
    <w:p w:rsidRPr="004F35AF" w:rsidR="009C33C3" w:rsidP="00AB2D5C" w:rsidRDefault="009C33C3" w14:paraId="469DCC39" w14:textId="77777777">
      <w:pPr>
        <w:pStyle w:val="Orangeline"/>
        <w:ind w:right="0"/>
      </w:pPr>
    </w:p>
    <w:tbl>
      <w:tblPr>
        <w:tblStyle w:val="Russelltable1"/>
        <w:tblW w:w="5003" w:type="pct"/>
        <w:tblLook w:val="04A0" w:firstRow="1" w:lastRow="0" w:firstColumn="1" w:lastColumn="0" w:noHBand="0" w:noVBand="1"/>
      </w:tblPr>
      <w:tblGrid>
        <w:gridCol w:w="2231"/>
        <w:gridCol w:w="1236"/>
        <w:gridCol w:w="1778"/>
        <w:gridCol w:w="1419"/>
        <w:gridCol w:w="1415"/>
        <w:gridCol w:w="1562"/>
      </w:tblGrid>
      <w:tr w:rsidRPr="00F21589" w:rsidR="00312D1C" w:rsidTr="00312D1C" w14:paraId="110CE392" w14:textId="40EC7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Merge w:val="restart"/>
            <w:vAlign w:val="top"/>
          </w:tcPr>
          <w:p w:rsidR="00312D1C" w:rsidP="00AB2D5C" w:rsidRDefault="00312D1C" w14:paraId="2EB0899D" w14:textId="77777777">
            <w:pPr>
              <w:pStyle w:val="Tablecopyleft"/>
              <w:ind w:right="0"/>
              <w:jc w:val="left"/>
            </w:pPr>
            <w:r>
              <w:t>Asset class</w:t>
            </w:r>
          </w:p>
        </w:tc>
        <w:tc>
          <w:tcPr>
            <w:tcW w:w="3843" w:type="pct"/>
            <w:gridSpan w:val="5"/>
            <w:vAlign w:val="top"/>
          </w:tcPr>
          <w:p w:rsidRPr="00B83CE9" w:rsidR="00312D1C" w:rsidP="00AB2D5C" w:rsidRDefault="00312D1C" w14:paraId="459C1CE2" w14:textId="77777777">
            <w:pPr>
              <w:pStyle w:val="Tablecopyleft"/>
              <w:ind w:right="0"/>
              <w:cnfStyle w:val="100000000000" w:firstRow="1" w:lastRow="0" w:firstColumn="0" w:lastColumn="0" w:oddVBand="0" w:evenVBand="0" w:oddHBand="0" w:evenHBand="0" w:firstRowFirstColumn="0" w:firstRowLastColumn="0" w:lastRowFirstColumn="0" w:lastRowLastColumn="0"/>
            </w:pPr>
            <w:r>
              <w:t>Risk profile</w:t>
            </w:r>
          </w:p>
        </w:tc>
      </w:tr>
      <w:tr w:rsidRPr="00F21589" w:rsidR="00A07F41" w:rsidTr="00D15194" w14:paraId="5487DE8F" w14:textId="15436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Merge/>
            <w:tcBorders>
              <w:bottom w:val="single" w:color="5F6061" w:themeColor="text2" w:sz="2" w:space="0"/>
            </w:tcBorders>
            <w:vAlign w:val="top"/>
          </w:tcPr>
          <w:p w:rsidRPr="00F21589" w:rsidR="00A07F41" w:rsidP="00A07F41" w:rsidRDefault="00A07F41" w14:paraId="368306DF" w14:textId="77777777">
            <w:pPr>
              <w:pStyle w:val="Tablecopyleft"/>
              <w:ind w:right="0"/>
            </w:pPr>
          </w:p>
        </w:tc>
        <w:tc>
          <w:tcPr>
            <w:tcW w:w="641" w:type="pct"/>
            <w:tcBorders>
              <w:bottom w:val="single" w:color="5F6061" w:themeColor="text2" w:sz="2" w:space="0"/>
            </w:tcBorders>
            <w:shd w:val="clear" w:color="auto" w:fill="E7F0FA" w:themeFill="accent6"/>
            <w:vAlign w:val="top"/>
          </w:tcPr>
          <w:p w:rsidRPr="004F35AF" w:rsidR="00A07F41" w:rsidP="00A07F41" w:rsidRDefault="00A07F41" w14:paraId="5BAB60A4" w14:textId="10D916C6">
            <w:pPr>
              <w:pStyle w:val="Tablecopyleft"/>
              <w:ind w:right="0"/>
              <w:jc w:val="center"/>
              <w:cnfStyle w:val="000000100000" w:firstRow="0" w:lastRow="0" w:firstColumn="0" w:lastColumn="0" w:oddVBand="0" w:evenVBand="0" w:oddHBand="1" w:evenHBand="0" w:firstRowFirstColumn="0" w:firstRowLastColumn="0" w:lastRowFirstColumn="0" w:lastRowLastColumn="0"/>
              <w:rPr>
                <w:b/>
                <w:bCs/>
              </w:rPr>
            </w:pPr>
            <w:r w:rsidRPr="004F35AF">
              <w:rPr>
                <w:b/>
                <w:bCs/>
              </w:rPr>
              <w:t>Diversified 50</w:t>
            </w:r>
          </w:p>
        </w:tc>
        <w:tc>
          <w:tcPr>
            <w:tcW w:w="922" w:type="pct"/>
            <w:tcBorders>
              <w:bottom w:val="single" w:color="5F6061" w:themeColor="text2" w:sz="2" w:space="0"/>
            </w:tcBorders>
            <w:shd w:val="clear" w:color="auto" w:fill="E7F0FA" w:themeFill="accent6"/>
            <w:vAlign w:val="top"/>
          </w:tcPr>
          <w:p w:rsidRPr="004F35AF" w:rsidR="00A07F41" w:rsidP="00A07F41" w:rsidRDefault="00A07F41" w14:paraId="58A7664B" w14:textId="2D0073D1">
            <w:pPr>
              <w:pStyle w:val="Tablecopyleft"/>
              <w:ind w:right="0"/>
              <w:jc w:val="center"/>
              <w:cnfStyle w:val="000000100000" w:firstRow="0" w:lastRow="0" w:firstColumn="0" w:lastColumn="0" w:oddVBand="0" w:evenVBand="0" w:oddHBand="1" w:evenHBand="0" w:firstRowFirstColumn="0" w:firstRowLastColumn="0" w:lastRowFirstColumn="0" w:lastRowLastColumn="0"/>
              <w:rPr>
                <w:b/>
                <w:bCs/>
              </w:rPr>
            </w:pPr>
            <w:r w:rsidRPr="004F35AF">
              <w:rPr>
                <w:b/>
                <w:bCs/>
              </w:rPr>
              <w:t>Balanced</w:t>
            </w:r>
          </w:p>
        </w:tc>
        <w:tc>
          <w:tcPr>
            <w:tcW w:w="736" w:type="pct"/>
            <w:tcBorders>
              <w:bottom w:val="single" w:color="5F6061" w:themeColor="text2" w:sz="2" w:space="0"/>
            </w:tcBorders>
            <w:shd w:val="clear" w:color="auto" w:fill="E7F0FA" w:themeFill="accent6"/>
            <w:vAlign w:val="top"/>
          </w:tcPr>
          <w:p w:rsidRPr="004F35AF" w:rsidR="00A07F41" w:rsidP="00A07F41" w:rsidRDefault="00A07F41" w14:paraId="290C289C" w14:textId="7E97295B">
            <w:pPr>
              <w:pStyle w:val="Tablecopyleft"/>
              <w:ind w:right="0"/>
              <w:jc w:val="center"/>
              <w:cnfStyle w:val="000000100000" w:firstRow="0" w:lastRow="0" w:firstColumn="0" w:lastColumn="0" w:oddVBand="0" w:evenVBand="0" w:oddHBand="1" w:evenHBand="0" w:firstRowFirstColumn="0" w:firstRowLastColumn="0" w:lastRowFirstColumn="0" w:lastRowLastColumn="0"/>
              <w:rPr>
                <w:b/>
                <w:bCs/>
              </w:rPr>
            </w:pPr>
            <w:r w:rsidRPr="004F35AF">
              <w:rPr>
                <w:b/>
                <w:bCs/>
              </w:rPr>
              <w:t>Growth</w:t>
            </w:r>
          </w:p>
        </w:tc>
        <w:tc>
          <w:tcPr>
            <w:tcW w:w="734" w:type="pct"/>
            <w:tcBorders>
              <w:bottom w:val="single" w:color="5F6061" w:themeColor="text2" w:sz="2" w:space="0"/>
            </w:tcBorders>
            <w:shd w:val="clear" w:color="auto" w:fill="E7F0FA" w:themeFill="accent6"/>
            <w:vAlign w:val="top"/>
          </w:tcPr>
          <w:p w:rsidRPr="004F35AF" w:rsidR="00A07F41" w:rsidP="00A07F41" w:rsidRDefault="00A07F41" w14:paraId="527EA896" w14:textId="7D0702CA">
            <w:pPr>
              <w:pStyle w:val="Tablecopyleft"/>
              <w:ind w:right="0"/>
              <w:jc w:val="center"/>
              <w:cnfStyle w:val="000000100000" w:firstRow="0" w:lastRow="0" w:firstColumn="0" w:lastColumn="0" w:oddVBand="0" w:evenVBand="0" w:oddHBand="1" w:evenHBand="0" w:firstRowFirstColumn="0" w:firstRowLastColumn="0" w:lastRowFirstColumn="0" w:lastRowLastColumn="0"/>
              <w:rPr>
                <w:b/>
                <w:bCs/>
              </w:rPr>
            </w:pPr>
            <w:r w:rsidRPr="004F35AF">
              <w:rPr>
                <w:b/>
                <w:bCs/>
              </w:rPr>
              <w:t>High growth</w:t>
            </w:r>
          </w:p>
        </w:tc>
        <w:tc>
          <w:tcPr>
            <w:tcW w:w="810" w:type="pct"/>
            <w:tcBorders>
              <w:bottom w:val="single" w:color="5F6061" w:themeColor="text2" w:sz="2" w:space="0"/>
            </w:tcBorders>
            <w:shd w:val="clear" w:color="auto" w:fill="E7F0FA" w:themeFill="accent6"/>
          </w:tcPr>
          <w:p w:rsidRPr="004F35AF" w:rsidR="00A07F41" w:rsidP="00A07F41" w:rsidRDefault="00A07F41" w14:paraId="60165A02" w14:textId="3BA0C8D4">
            <w:pPr>
              <w:pStyle w:val="Tablecopyleft"/>
              <w:ind w:right="0"/>
              <w:jc w:val="center"/>
              <w:cnfStyle w:val="000000100000" w:firstRow="0" w:lastRow="0" w:firstColumn="0" w:lastColumn="0" w:oddVBand="0" w:evenVBand="0" w:oddHBand="1" w:evenHBand="0" w:firstRowFirstColumn="0" w:firstRowLastColumn="0" w:lastRowFirstColumn="0" w:lastRowLastColumn="0"/>
              <w:rPr>
                <w:b/>
                <w:bCs/>
              </w:rPr>
            </w:pPr>
            <w:r>
              <w:rPr>
                <w:b/>
                <w:bCs/>
              </w:rPr>
              <w:t>Geared 120</w:t>
            </w:r>
          </w:p>
        </w:tc>
      </w:tr>
      <w:tr w:rsidRPr="00E904A3" w:rsidR="00A07F41" w:rsidTr="00312D1C" w14:paraId="31F091AB" w14:textId="7B0353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single" w:color="5F6061" w:themeColor="text2" w:sz="2" w:space="0"/>
            </w:tcBorders>
            <w:vAlign w:val="top"/>
          </w:tcPr>
          <w:p w:rsidRPr="00E904A3" w:rsidR="00A07F41" w:rsidP="00A07F41" w:rsidRDefault="00A07F41" w14:paraId="7B71FA00" w14:textId="5B29E8D1">
            <w:pPr>
              <w:pStyle w:val="Tablesubsectionheading"/>
              <w:ind w:right="0"/>
            </w:pPr>
            <w:r w:rsidRPr="00E904A3">
              <w:t>GROWTH ASSETS</w:t>
            </w:r>
          </w:p>
        </w:tc>
        <w:tc>
          <w:tcPr>
            <w:tcW w:w="641" w:type="pct"/>
            <w:tcBorders>
              <w:top w:val="single" w:color="5F6061" w:themeColor="text2" w:sz="2" w:space="0"/>
            </w:tcBorders>
            <w:vAlign w:val="top"/>
          </w:tcPr>
          <w:p w:rsidRPr="00B5666F" w:rsidR="00A07F41" w:rsidP="00A07F41" w:rsidRDefault="00A07F41" w14:paraId="5E90BAF9" w14:textId="09450014">
            <w:pPr>
              <w:pStyle w:val="Tablesubsectionheading"/>
              <w:ind w:right="0"/>
              <w:jc w:val="center"/>
              <w:cnfStyle w:val="000000010000" w:firstRow="0" w:lastRow="0" w:firstColumn="0" w:lastColumn="0" w:oddVBand="0" w:evenVBand="0" w:oddHBand="0" w:evenHBand="1" w:firstRowFirstColumn="0" w:firstRowLastColumn="0" w:lastRowFirstColumn="0" w:lastRowLastColumn="0"/>
              <w:rPr>
                <w:b/>
                <w:bCs w:val="0"/>
              </w:rPr>
            </w:pPr>
            <w:r w:rsidRPr="00B5666F">
              <w:rPr>
                <w:b/>
                <w:bCs w:val="0"/>
              </w:rPr>
              <w:t>54.4</w:t>
            </w:r>
          </w:p>
        </w:tc>
        <w:tc>
          <w:tcPr>
            <w:tcW w:w="922" w:type="pct"/>
            <w:tcBorders>
              <w:top w:val="single" w:color="5F6061" w:themeColor="text2" w:sz="2" w:space="0"/>
            </w:tcBorders>
            <w:vAlign w:val="top"/>
          </w:tcPr>
          <w:p w:rsidRPr="00B5666F" w:rsidR="00A07F41" w:rsidP="00A07F41" w:rsidRDefault="00A07F41" w14:paraId="7161CEBA" w14:textId="7E110233">
            <w:pPr>
              <w:pStyle w:val="Tablesubsectionheading"/>
              <w:ind w:right="0"/>
              <w:jc w:val="center"/>
              <w:cnfStyle w:val="000000010000" w:firstRow="0" w:lastRow="0" w:firstColumn="0" w:lastColumn="0" w:oddVBand="0" w:evenVBand="0" w:oddHBand="0" w:evenHBand="1" w:firstRowFirstColumn="0" w:firstRowLastColumn="0" w:lastRowFirstColumn="0" w:lastRowLastColumn="0"/>
              <w:rPr>
                <w:b/>
                <w:bCs w:val="0"/>
              </w:rPr>
            </w:pPr>
            <w:r w:rsidRPr="00B5666F">
              <w:rPr>
                <w:b/>
                <w:bCs w:val="0"/>
              </w:rPr>
              <w:t>73.9</w:t>
            </w:r>
          </w:p>
        </w:tc>
        <w:tc>
          <w:tcPr>
            <w:tcW w:w="736" w:type="pct"/>
            <w:tcBorders>
              <w:top w:val="single" w:color="5F6061" w:themeColor="text2" w:sz="2" w:space="0"/>
            </w:tcBorders>
            <w:vAlign w:val="top"/>
          </w:tcPr>
          <w:p w:rsidRPr="00B5666F" w:rsidR="00A07F41" w:rsidP="00A07F41" w:rsidRDefault="00A07F41" w14:paraId="5044A177" w14:textId="07AFF64F">
            <w:pPr>
              <w:pStyle w:val="Tablesubsectionheading"/>
              <w:ind w:right="0"/>
              <w:jc w:val="center"/>
              <w:cnfStyle w:val="000000010000" w:firstRow="0" w:lastRow="0" w:firstColumn="0" w:lastColumn="0" w:oddVBand="0" w:evenVBand="0" w:oddHBand="0" w:evenHBand="1" w:firstRowFirstColumn="0" w:firstRowLastColumn="0" w:lastRowFirstColumn="0" w:lastRowLastColumn="0"/>
              <w:rPr>
                <w:b/>
                <w:bCs w:val="0"/>
              </w:rPr>
            </w:pPr>
            <w:r w:rsidRPr="00B5666F">
              <w:rPr>
                <w:b/>
                <w:bCs w:val="0"/>
              </w:rPr>
              <w:t>92.9</w:t>
            </w:r>
          </w:p>
        </w:tc>
        <w:tc>
          <w:tcPr>
            <w:tcW w:w="734" w:type="pct"/>
            <w:tcBorders>
              <w:top w:val="single" w:color="5F6061" w:themeColor="text2" w:sz="2" w:space="0"/>
            </w:tcBorders>
            <w:vAlign w:val="top"/>
          </w:tcPr>
          <w:p w:rsidRPr="00B5666F" w:rsidR="00A07F41" w:rsidP="00A07F41" w:rsidRDefault="00A07F41" w14:paraId="73F341A5" w14:textId="162B3666">
            <w:pPr>
              <w:pStyle w:val="Tablesubsectionheading"/>
              <w:ind w:right="0"/>
              <w:jc w:val="center"/>
              <w:cnfStyle w:val="000000010000" w:firstRow="0" w:lastRow="0" w:firstColumn="0" w:lastColumn="0" w:oddVBand="0" w:evenVBand="0" w:oddHBand="0" w:evenHBand="1" w:firstRowFirstColumn="0" w:firstRowLastColumn="0" w:lastRowFirstColumn="0" w:lastRowLastColumn="0"/>
              <w:rPr>
                <w:b/>
                <w:bCs w:val="0"/>
              </w:rPr>
            </w:pPr>
            <w:r w:rsidRPr="00B5666F">
              <w:rPr>
                <w:b/>
                <w:bCs w:val="0"/>
              </w:rPr>
              <w:t>98.7</w:t>
            </w:r>
          </w:p>
        </w:tc>
        <w:tc>
          <w:tcPr>
            <w:tcW w:w="810" w:type="pct"/>
            <w:tcBorders>
              <w:top w:val="single" w:color="5F6061" w:themeColor="text2" w:sz="2" w:space="0"/>
            </w:tcBorders>
            <w:vAlign w:val="top"/>
          </w:tcPr>
          <w:p w:rsidRPr="00B5666F" w:rsidR="00A07F41" w:rsidP="00A07F41" w:rsidRDefault="00A07F41" w14:paraId="562A5AF7" w14:textId="34D56133">
            <w:pPr>
              <w:pStyle w:val="Tablesubsectionheading"/>
              <w:ind w:right="0"/>
              <w:jc w:val="center"/>
              <w:cnfStyle w:val="000000010000" w:firstRow="0" w:lastRow="0" w:firstColumn="0" w:lastColumn="0" w:oddVBand="0" w:evenVBand="0" w:oddHBand="0" w:evenHBand="1" w:firstRowFirstColumn="0" w:firstRowLastColumn="0" w:lastRowFirstColumn="0" w:lastRowLastColumn="0"/>
              <w:rPr>
                <w:b/>
                <w:bCs w:val="0"/>
              </w:rPr>
            </w:pPr>
            <w:r w:rsidRPr="00B5666F">
              <w:rPr>
                <w:b/>
                <w:bCs w:val="0"/>
              </w:rPr>
              <w:t>118.0</w:t>
            </w:r>
          </w:p>
        </w:tc>
      </w:tr>
      <w:tr w:rsidRPr="00F21589" w:rsidR="00A07F41" w:rsidTr="00312D1C" w14:paraId="1651C39A" w14:textId="7EA6B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top"/>
          </w:tcPr>
          <w:p w:rsidRPr="00AB2D5C" w:rsidR="00A07F41" w:rsidP="00A07F41" w:rsidRDefault="00A07F41" w14:paraId="75112216" w14:textId="71D56EAB">
            <w:pPr>
              <w:pStyle w:val="Tablecopyleft"/>
              <w:ind w:right="0"/>
              <w:rPr>
                <w:b w:val="0"/>
                <w:bCs/>
              </w:rPr>
            </w:pPr>
            <w:r w:rsidRPr="00AB2D5C">
              <w:rPr>
                <w:b w:val="0"/>
                <w:bCs/>
              </w:rPr>
              <w:t>Australian equity</w:t>
            </w:r>
          </w:p>
        </w:tc>
        <w:tc>
          <w:tcPr>
            <w:tcW w:w="641" w:type="pct"/>
            <w:vAlign w:val="top"/>
          </w:tcPr>
          <w:p w:rsidRPr="00AB2D5C" w:rsidR="00A07F41" w:rsidP="00A07F41" w:rsidRDefault="00A07F41" w14:paraId="2D55A572" w14:textId="5E0DE656">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18.8</w:t>
            </w:r>
          </w:p>
        </w:tc>
        <w:tc>
          <w:tcPr>
            <w:tcW w:w="922" w:type="pct"/>
            <w:vAlign w:val="top"/>
          </w:tcPr>
          <w:p w:rsidRPr="00AB2D5C" w:rsidR="00A07F41" w:rsidP="00A07F41" w:rsidRDefault="00A07F41" w14:paraId="49B8DF34" w14:textId="00427BDA">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27.2</w:t>
            </w:r>
          </w:p>
        </w:tc>
        <w:tc>
          <w:tcPr>
            <w:tcW w:w="736" w:type="pct"/>
            <w:vAlign w:val="top"/>
          </w:tcPr>
          <w:p w:rsidRPr="00AB2D5C" w:rsidR="00A07F41" w:rsidP="00A07F41" w:rsidRDefault="00A07F41" w14:paraId="5457B118" w14:textId="4155B6AA">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34.1</w:t>
            </w:r>
          </w:p>
        </w:tc>
        <w:tc>
          <w:tcPr>
            <w:tcW w:w="734" w:type="pct"/>
            <w:vAlign w:val="top"/>
          </w:tcPr>
          <w:p w:rsidRPr="00AB2D5C" w:rsidR="00A07F41" w:rsidP="00A07F41" w:rsidRDefault="00A07F41" w14:paraId="4331D271" w14:textId="03423462">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38.6</w:t>
            </w:r>
          </w:p>
        </w:tc>
        <w:tc>
          <w:tcPr>
            <w:tcW w:w="810" w:type="pct"/>
            <w:vAlign w:val="top"/>
          </w:tcPr>
          <w:p w:rsidRPr="00AB2D5C" w:rsidR="00A07F41" w:rsidP="00A07F41" w:rsidRDefault="00A07F41" w14:paraId="69630207" w14:textId="3E5BCFBA">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47.5</w:t>
            </w:r>
          </w:p>
        </w:tc>
      </w:tr>
      <w:tr w:rsidRPr="00F21589" w:rsidR="00A07F41" w:rsidTr="00312D1C" w14:paraId="10E80D4F" w14:textId="768E99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top"/>
          </w:tcPr>
          <w:p w:rsidRPr="00AB2D5C" w:rsidR="00A07F41" w:rsidP="00A07F41" w:rsidRDefault="00A07F41" w14:paraId="59C9A47D" w14:textId="240380AC">
            <w:pPr>
              <w:pStyle w:val="Tablecopyleft"/>
              <w:ind w:right="0"/>
              <w:rPr>
                <w:b w:val="0"/>
                <w:bCs/>
              </w:rPr>
            </w:pPr>
            <w:r w:rsidRPr="00AB2D5C">
              <w:rPr>
                <w:b w:val="0"/>
                <w:bCs/>
              </w:rPr>
              <w:t>Global equity</w:t>
            </w:r>
          </w:p>
        </w:tc>
        <w:tc>
          <w:tcPr>
            <w:tcW w:w="641" w:type="pct"/>
            <w:vAlign w:val="top"/>
          </w:tcPr>
          <w:p w:rsidRPr="00AB2D5C" w:rsidR="00A07F41" w:rsidP="00A07F41" w:rsidRDefault="00A07F41" w14:paraId="27B83C6F" w14:textId="3368C844">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29.6</w:t>
            </w:r>
          </w:p>
        </w:tc>
        <w:tc>
          <w:tcPr>
            <w:tcW w:w="922" w:type="pct"/>
            <w:vAlign w:val="top"/>
          </w:tcPr>
          <w:p w:rsidRPr="00AB2D5C" w:rsidR="00A07F41" w:rsidP="00A07F41" w:rsidRDefault="00A07F41" w14:paraId="61F32CD0" w14:textId="4D2EA415">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39.2</w:t>
            </w:r>
          </w:p>
        </w:tc>
        <w:tc>
          <w:tcPr>
            <w:tcW w:w="736" w:type="pct"/>
            <w:vAlign w:val="top"/>
          </w:tcPr>
          <w:p w:rsidRPr="00AB2D5C" w:rsidR="00A07F41" w:rsidP="00A07F41" w:rsidRDefault="00A07F41" w14:paraId="490B1422" w14:textId="37891117">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51.8</w:t>
            </w:r>
          </w:p>
        </w:tc>
        <w:tc>
          <w:tcPr>
            <w:tcW w:w="734" w:type="pct"/>
            <w:vAlign w:val="top"/>
          </w:tcPr>
          <w:p w:rsidRPr="00AB2D5C" w:rsidR="00A07F41" w:rsidP="00A07F41" w:rsidRDefault="00A07F41" w14:paraId="49103DC2" w14:textId="55201418">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49.3</w:t>
            </w:r>
          </w:p>
        </w:tc>
        <w:tc>
          <w:tcPr>
            <w:tcW w:w="810" w:type="pct"/>
            <w:vAlign w:val="top"/>
          </w:tcPr>
          <w:p w:rsidRPr="00AB2D5C" w:rsidR="00A07F41" w:rsidP="00A07F41" w:rsidRDefault="00A07F41" w14:paraId="0F1E1A6A" w14:textId="55CCB1A6">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58.7</w:t>
            </w:r>
          </w:p>
        </w:tc>
      </w:tr>
      <w:tr w:rsidRPr="00F21589" w:rsidR="00A07F41" w:rsidTr="00312D1C" w14:paraId="02C88E9F" w14:textId="7B7E0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top"/>
          </w:tcPr>
          <w:p w:rsidRPr="00AB2D5C" w:rsidR="00A07F41" w:rsidP="00A07F41" w:rsidRDefault="00A07F41" w14:paraId="3153370A" w14:textId="356C055A">
            <w:pPr>
              <w:pStyle w:val="Tablecopyleft"/>
              <w:ind w:right="0"/>
              <w:rPr>
                <w:b w:val="0"/>
                <w:bCs/>
              </w:rPr>
            </w:pPr>
            <w:r w:rsidRPr="00AB2D5C">
              <w:rPr>
                <w:b w:val="0"/>
                <w:bCs/>
              </w:rPr>
              <w:t>Australian property</w:t>
            </w:r>
          </w:p>
        </w:tc>
        <w:tc>
          <w:tcPr>
            <w:tcW w:w="641" w:type="pct"/>
            <w:vAlign w:val="top"/>
          </w:tcPr>
          <w:p w:rsidRPr="00AB2D5C" w:rsidR="00A07F41" w:rsidP="00A07F41" w:rsidRDefault="00A07F41" w14:paraId="60733BF8" w14:textId="1F730956">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1.5</w:t>
            </w:r>
          </w:p>
        </w:tc>
        <w:tc>
          <w:tcPr>
            <w:tcW w:w="922" w:type="pct"/>
            <w:vAlign w:val="top"/>
          </w:tcPr>
          <w:p w:rsidRPr="00AB2D5C" w:rsidR="00A07F41" w:rsidP="00A07F41" w:rsidRDefault="00A07F41" w14:paraId="3FD081EB" w14:textId="181BD795">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3.1</w:t>
            </w:r>
          </w:p>
        </w:tc>
        <w:tc>
          <w:tcPr>
            <w:tcW w:w="736" w:type="pct"/>
            <w:vAlign w:val="top"/>
          </w:tcPr>
          <w:p w:rsidRPr="00AB2D5C" w:rsidR="00A07F41" w:rsidP="00A07F41" w:rsidRDefault="00A07F41" w14:paraId="3D14F2A2" w14:textId="1301F1FF">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2.5</w:t>
            </w:r>
          </w:p>
        </w:tc>
        <w:tc>
          <w:tcPr>
            <w:tcW w:w="734" w:type="pct"/>
            <w:vAlign w:val="top"/>
          </w:tcPr>
          <w:p w:rsidRPr="00AB2D5C" w:rsidR="00A07F41" w:rsidP="00A07F41" w:rsidRDefault="00A07F41" w14:paraId="67ACF7A8" w14:textId="349FF224">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3.0</w:t>
            </w:r>
          </w:p>
        </w:tc>
        <w:tc>
          <w:tcPr>
            <w:tcW w:w="810" w:type="pct"/>
            <w:vAlign w:val="top"/>
          </w:tcPr>
          <w:p w:rsidRPr="00AB2D5C" w:rsidR="00A07F41" w:rsidP="00A07F41" w:rsidRDefault="00A07F41" w14:paraId="71A5DAD2" w14:textId="19B6E2E4">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2.7</w:t>
            </w:r>
          </w:p>
        </w:tc>
      </w:tr>
      <w:tr w:rsidRPr="00F21589" w:rsidR="00A07F41" w:rsidTr="00312D1C" w14:paraId="4932CAC9" w14:textId="1DC412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top"/>
          </w:tcPr>
          <w:p w:rsidRPr="00AB2D5C" w:rsidR="00A07F41" w:rsidP="00A07F41" w:rsidRDefault="00A07F41" w14:paraId="631425A1" w14:textId="0C161063">
            <w:pPr>
              <w:pStyle w:val="Tablecopyleft"/>
              <w:ind w:right="0"/>
              <w:rPr>
                <w:b w:val="0"/>
                <w:bCs/>
              </w:rPr>
            </w:pPr>
            <w:r w:rsidRPr="00AB2D5C">
              <w:rPr>
                <w:b w:val="0"/>
                <w:bCs/>
              </w:rPr>
              <w:t>Global property</w:t>
            </w:r>
          </w:p>
        </w:tc>
        <w:tc>
          <w:tcPr>
            <w:tcW w:w="641" w:type="pct"/>
            <w:vAlign w:val="top"/>
          </w:tcPr>
          <w:p w:rsidRPr="00AB2D5C" w:rsidR="00A07F41" w:rsidP="00A07F41" w:rsidRDefault="00A07F41" w14:paraId="16F4705A" w14:textId="48306435">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2.5</w:t>
            </w:r>
          </w:p>
        </w:tc>
        <w:tc>
          <w:tcPr>
            <w:tcW w:w="922" w:type="pct"/>
            <w:vAlign w:val="top"/>
          </w:tcPr>
          <w:p w:rsidRPr="00AB2D5C" w:rsidR="00A07F41" w:rsidP="00A07F41" w:rsidRDefault="00A07F41" w14:paraId="3A86F587" w14:textId="0D4D597A">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2.5</w:t>
            </w:r>
          </w:p>
        </w:tc>
        <w:tc>
          <w:tcPr>
            <w:tcW w:w="736" w:type="pct"/>
            <w:vAlign w:val="top"/>
          </w:tcPr>
          <w:p w:rsidRPr="00AB2D5C" w:rsidR="00A07F41" w:rsidP="00A07F41" w:rsidRDefault="00A07F41" w14:paraId="668604CC" w14:textId="04ADD64D">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3.5</w:t>
            </w:r>
          </w:p>
        </w:tc>
        <w:tc>
          <w:tcPr>
            <w:tcW w:w="734" w:type="pct"/>
            <w:vAlign w:val="top"/>
          </w:tcPr>
          <w:p w:rsidRPr="00AB2D5C" w:rsidR="00A07F41" w:rsidP="00A07F41" w:rsidRDefault="00A07F41" w14:paraId="3E72EE43" w14:textId="36955D8F">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3.6</w:t>
            </w:r>
          </w:p>
        </w:tc>
        <w:tc>
          <w:tcPr>
            <w:tcW w:w="810" w:type="pct"/>
            <w:vAlign w:val="top"/>
          </w:tcPr>
          <w:p w:rsidRPr="00AB2D5C" w:rsidR="00A07F41" w:rsidP="00A07F41" w:rsidRDefault="00A07F41" w14:paraId="5A2B463F" w14:textId="0E26C8F1">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4.1</w:t>
            </w:r>
          </w:p>
        </w:tc>
      </w:tr>
      <w:tr w:rsidRPr="00F21589" w:rsidR="00A07F41" w:rsidTr="00312D1C" w14:paraId="52DF6500" w14:textId="6CE76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top"/>
          </w:tcPr>
          <w:p w:rsidRPr="00AB2D5C" w:rsidR="00A07F41" w:rsidP="00A07F41" w:rsidRDefault="00A07F41" w14:paraId="3C9A4A13" w14:textId="457F4C67">
            <w:pPr>
              <w:pStyle w:val="Tablecopyleft"/>
              <w:ind w:right="0"/>
              <w:rPr>
                <w:b w:val="0"/>
                <w:bCs/>
              </w:rPr>
            </w:pPr>
            <w:r w:rsidRPr="00AB2D5C">
              <w:rPr>
                <w:b w:val="0"/>
                <w:bCs/>
              </w:rPr>
              <w:t>Infrastructure</w:t>
            </w:r>
          </w:p>
        </w:tc>
        <w:tc>
          <w:tcPr>
            <w:tcW w:w="641" w:type="pct"/>
            <w:vAlign w:val="top"/>
          </w:tcPr>
          <w:p w:rsidRPr="00AB2D5C" w:rsidR="00A07F41" w:rsidP="00A07F41" w:rsidRDefault="00A07F41" w14:paraId="06189891" w14:textId="31AE4A6C">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1.0</w:t>
            </w:r>
          </w:p>
        </w:tc>
        <w:tc>
          <w:tcPr>
            <w:tcW w:w="922" w:type="pct"/>
            <w:vAlign w:val="top"/>
          </w:tcPr>
          <w:p w:rsidRPr="00AB2D5C" w:rsidR="00A07F41" w:rsidP="00A07F41" w:rsidRDefault="00A07F41" w14:paraId="78A1A819" w14:textId="269A6A07">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1.0</w:t>
            </w:r>
          </w:p>
        </w:tc>
        <w:tc>
          <w:tcPr>
            <w:tcW w:w="736" w:type="pct"/>
            <w:vAlign w:val="top"/>
          </w:tcPr>
          <w:p w:rsidRPr="00AB2D5C" w:rsidR="00A07F41" w:rsidP="00A07F41" w:rsidRDefault="00A07F41" w14:paraId="6CBAB47A" w14:textId="637C6857">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1.0</w:t>
            </w:r>
          </w:p>
        </w:tc>
        <w:tc>
          <w:tcPr>
            <w:tcW w:w="734" w:type="pct"/>
            <w:vAlign w:val="top"/>
          </w:tcPr>
          <w:p w:rsidRPr="00AB2D5C" w:rsidR="00A07F41" w:rsidP="00A07F41" w:rsidRDefault="00A07F41" w14:paraId="51AA8DA7" w14:textId="58B155EE">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4.2</w:t>
            </w:r>
          </w:p>
        </w:tc>
        <w:tc>
          <w:tcPr>
            <w:tcW w:w="810" w:type="pct"/>
            <w:vAlign w:val="top"/>
          </w:tcPr>
          <w:p w:rsidRPr="00AB2D5C" w:rsidR="00A07F41" w:rsidP="00A07F41" w:rsidRDefault="00A07F41" w14:paraId="170917B6" w14:textId="28D45214">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5.0</w:t>
            </w:r>
          </w:p>
        </w:tc>
      </w:tr>
      <w:tr w:rsidRPr="00F21589" w:rsidR="00A07F41" w:rsidTr="00312D1C" w14:paraId="6BC8D3E7" w14:textId="7A7813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top"/>
          </w:tcPr>
          <w:p w:rsidRPr="00AB2D5C" w:rsidR="00A07F41" w:rsidP="00A07F41" w:rsidRDefault="00A07F41" w14:paraId="5F32A091" w14:textId="3FA2EC3A">
            <w:pPr>
              <w:pStyle w:val="Tablecopyleft"/>
              <w:ind w:right="0"/>
              <w:rPr>
                <w:b w:val="0"/>
                <w:bCs/>
              </w:rPr>
            </w:pPr>
            <w:r w:rsidRPr="00AB2D5C">
              <w:rPr>
                <w:b w:val="0"/>
                <w:bCs/>
              </w:rPr>
              <w:t>Growth alternatives</w:t>
            </w:r>
          </w:p>
        </w:tc>
        <w:tc>
          <w:tcPr>
            <w:tcW w:w="641" w:type="pct"/>
            <w:vAlign w:val="top"/>
          </w:tcPr>
          <w:p w:rsidRPr="00AB2D5C" w:rsidR="00A07F41" w:rsidP="00A07F41" w:rsidRDefault="00A07F41" w14:paraId="3446C646" w14:textId="44673597">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0.0</w:t>
            </w:r>
          </w:p>
        </w:tc>
        <w:tc>
          <w:tcPr>
            <w:tcW w:w="922" w:type="pct"/>
            <w:vAlign w:val="top"/>
          </w:tcPr>
          <w:p w:rsidRPr="00AB2D5C" w:rsidR="00A07F41" w:rsidP="00A07F41" w:rsidRDefault="00A07F41" w14:paraId="1A313EFA" w14:textId="2A650EF6">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0.0</w:t>
            </w:r>
          </w:p>
        </w:tc>
        <w:tc>
          <w:tcPr>
            <w:tcW w:w="736" w:type="pct"/>
            <w:vAlign w:val="top"/>
          </w:tcPr>
          <w:p w:rsidRPr="00AB2D5C" w:rsidR="00A07F41" w:rsidP="00A07F41" w:rsidRDefault="00A07F41" w14:paraId="6E49C499" w14:textId="3383815C">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0.0</w:t>
            </w:r>
          </w:p>
        </w:tc>
        <w:tc>
          <w:tcPr>
            <w:tcW w:w="734" w:type="pct"/>
            <w:vAlign w:val="top"/>
          </w:tcPr>
          <w:p w:rsidRPr="00AB2D5C" w:rsidR="00A07F41" w:rsidP="00A07F41" w:rsidRDefault="00A07F41" w14:paraId="1F08223C" w14:textId="2C939420">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0.0</w:t>
            </w:r>
          </w:p>
        </w:tc>
        <w:tc>
          <w:tcPr>
            <w:tcW w:w="810" w:type="pct"/>
            <w:vAlign w:val="top"/>
          </w:tcPr>
          <w:p w:rsidRPr="00AB2D5C" w:rsidR="00A07F41" w:rsidP="00A07F41" w:rsidRDefault="00A07F41" w14:paraId="16162CFE" w14:textId="6ADBDD6F">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0.0</w:t>
            </w:r>
          </w:p>
        </w:tc>
      </w:tr>
      <w:tr w:rsidRPr="00F21589" w:rsidR="00A07F41" w:rsidTr="00312D1C" w14:paraId="6C731F60" w14:textId="73E36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top"/>
          </w:tcPr>
          <w:p w:rsidRPr="00AB2D5C" w:rsidR="00A07F41" w:rsidP="00A07F41" w:rsidRDefault="00A07F41" w14:paraId="127637A3" w14:textId="684D3A9E">
            <w:pPr>
              <w:pStyle w:val="Tablecopyleft"/>
              <w:ind w:right="0"/>
              <w:rPr>
                <w:b w:val="0"/>
                <w:bCs/>
              </w:rPr>
            </w:pPr>
            <w:r w:rsidRPr="00AB2D5C">
              <w:rPr>
                <w:b w:val="0"/>
                <w:bCs/>
              </w:rPr>
              <w:t>Extended credit</w:t>
            </w:r>
          </w:p>
        </w:tc>
        <w:tc>
          <w:tcPr>
            <w:tcW w:w="641" w:type="pct"/>
            <w:vAlign w:val="top"/>
          </w:tcPr>
          <w:p w:rsidRPr="00AB2D5C" w:rsidR="00A07F41" w:rsidP="00A07F41" w:rsidRDefault="00A07F41" w14:paraId="5C411F49" w14:textId="71BB4569">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0.9</w:t>
            </w:r>
          </w:p>
        </w:tc>
        <w:tc>
          <w:tcPr>
            <w:tcW w:w="922" w:type="pct"/>
            <w:vAlign w:val="top"/>
          </w:tcPr>
          <w:p w:rsidRPr="00AB2D5C" w:rsidR="00A07F41" w:rsidP="00A07F41" w:rsidRDefault="00A07F41" w14:paraId="495A20C4" w14:textId="424FB6F0">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0.9</w:t>
            </w:r>
          </w:p>
        </w:tc>
        <w:tc>
          <w:tcPr>
            <w:tcW w:w="736" w:type="pct"/>
            <w:vAlign w:val="top"/>
          </w:tcPr>
          <w:p w:rsidRPr="00AB2D5C" w:rsidR="00A07F41" w:rsidP="00A07F41" w:rsidRDefault="00A07F41" w14:paraId="21A7D29A" w14:textId="6DFD5A23">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0.0</w:t>
            </w:r>
          </w:p>
        </w:tc>
        <w:tc>
          <w:tcPr>
            <w:tcW w:w="734" w:type="pct"/>
            <w:vAlign w:val="top"/>
          </w:tcPr>
          <w:p w:rsidRPr="00AB2D5C" w:rsidR="00A07F41" w:rsidP="00A07F41" w:rsidRDefault="00A07F41" w14:paraId="3E4717CA" w14:textId="2FEFC0BF">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0.0</w:t>
            </w:r>
          </w:p>
        </w:tc>
        <w:tc>
          <w:tcPr>
            <w:tcW w:w="810" w:type="pct"/>
            <w:vAlign w:val="top"/>
          </w:tcPr>
          <w:p w:rsidRPr="00AB2D5C" w:rsidR="00A07F41" w:rsidP="00A07F41" w:rsidRDefault="00A07F41" w14:paraId="486882EA" w14:textId="04E959F2">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0.0</w:t>
            </w:r>
          </w:p>
        </w:tc>
      </w:tr>
      <w:tr w:rsidRPr="00F21589" w:rsidR="00A07F41" w:rsidTr="00312D1C" w14:paraId="2416FC48" w14:textId="65330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top"/>
          </w:tcPr>
          <w:p w:rsidRPr="00E904A3" w:rsidR="00A07F41" w:rsidP="00A07F41" w:rsidRDefault="00A07F41" w14:paraId="4612086F" w14:textId="75CEBF86">
            <w:pPr>
              <w:pStyle w:val="Tablesubsectionheading"/>
              <w:ind w:right="0"/>
            </w:pPr>
            <w:r w:rsidRPr="00E904A3">
              <w:t>DEFENSIVE ASSETS</w:t>
            </w:r>
          </w:p>
        </w:tc>
        <w:tc>
          <w:tcPr>
            <w:tcW w:w="641" w:type="pct"/>
            <w:vAlign w:val="top"/>
          </w:tcPr>
          <w:p w:rsidRPr="00B5666F" w:rsidR="00A07F41" w:rsidP="00A07F41" w:rsidRDefault="00A07F41" w14:paraId="3CDA5FBE" w14:textId="486A5649">
            <w:pPr>
              <w:pStyle w:val="Tablesubsectionheading"/>
              <w:ind w:right="0"/>
              <w:jc w:val="center"/>
              <w:cnfStyle w:val="000000010000" w:firstRow="0" w:lastRow="0" w:firstColumn="0" w:lastColumn="0" w:oddVBand="0" w:evenVBand="0" w:oddHBand="0" w:evenHBand="1" w:firstRowFirstColumn="0" w:firstRowLastColumn="0" w:lastRowFirstColumn="0" w:lastRowLastColumn="0"/>
              <w:rPr>
                <w:b/>
                <w:bCs w:val="0"/>
              </w:rPr>
            </w:pPr>
            <w:r w:rsidRPr="00B5666F">
              <w:rPr>
                <w:b/>
                <w:bCs w:val="0"/>
              </w:rPr>
              <w:t>45.6</w:t>
            </w:r>
          </w:p>
        </w:tc>
        <w:tc>
          <w:tcPr>
            <w:tcW w:w="922" w:type="pct"/>
            <w:vAlign w:val="top"/>
          </w:tcPr>
          <w:p w:rsidRPr="00B5666F" w:rsidR="00A07F41" w:rsidP="00A07F41" w:rsidRDefault="00A07F41" w14:paraId="2097D890" w14:textId="02D3164B">
            <w:pPr>
              <w:pStyle w:val="Tablesubsectionheading"/>
              <w:ind w:right="0"/>
              <w:jc w:val="center"/>
              <w:cnfStyle w:val="000000010000" w:firstRow="0" w:lastRow="0" w:firstColumn="0" w:lastColumn="0" w:oddVBand="0" w:evenVBand="0" w:oddHBand="0" w:evenHBand="1" w:firstRowFirstColumn="0" w:firstRowLastColumn="0" w:lastRowFirstColumn="0" w:lastRowLastColumn="0"/>
              <w:rPr>
                <w:b/>
                <w:bCs w:val="0"/>
              </w:rPr>
            </w:pPr>
            <w:r w:rsidRPr="00B5666F">
              <w:rPr>
                <w:b/>
                <w:bCs w:val="0"/>
              </w:rPr>
              <w:t>26.1</w:t>
            </w:r>
          </w:p>
        </w:tc>
        <w:tc>
          <w:tcPr>
            <w:tcW w:w="736" w:type="pct"/>
            <w:vAlign w:val="top"/>
          </w:tcPr>
          <w:p w:rsidRPr="00B5666F" w:rsidR="00A07F41" w:rsidP="00A07F41" w:rsidRDefault="00A07F41" w14:paraId="7C5BCC4C" w14:textId="7B7D4978">
            <w:pPr>
              <w:pStyle w:val="Tablesubsectionheading"/>
              <w:ind w:right="0"/>
              <w:jc w:val="center"/>
              <w:cnfStyle w:val="000000010000" w:firstRow="0" w:lastRow="0" w:firstColumn="0" w:lastColumn="0" w:oddVBand="0" w:evenVBand="0" w:oddHBand="0" w:evenHBand="1" w:firstRowFirstColumn="0" w:firstRowLastColumn="0" w:lastRowFirstColumn="0" w:lastRowLastColumn="0"/>
              <w:rPr>
                <w:b/>
                <w:bCs w:val="0"/>
              </w:rPr>
            </w:pPr>
            <w:r w:rsidRPr="00B5666F">
              <w:rPr>
                <w:b/>
                <w:bCs w:val="0"/>
              </w:rPr>
              <w:t>7.1</w:t>
            </w:r>
          </w:p>
        </w:tc>
        <w:tc>
          <w:tcPr>
            <w:tcW w:w="734" w:type="pct"/>
            <w:vAlign w:val="top"/>
          </w:tcPr>
          <w:p w:rsidRPr="00B5666F" w:rsidR="00A07F41" w:rsidP="00A07F41" w:rsidRDefault="00A07F41" w14:paraId="68B98475" w14:textId="7AC69A48">
            <w:pPr>
              <w:pStyle w:val="Tablesubsectionheading"/>
              <w:ind w:right="0"/>
              <w:jc w:val="center"/>
              <w:cnfStyle w:val="000000010000" w:firstRow="0" w:lastRow="0" w:firstColumn="0" w:lastColumn="0" w:oddVBand="0" w:evenVBand="0" w:oddHBand="0" w:evenHBand="1" w:firstRowFirstColumn="0" w:firstRowLastColumn="0" w:lastRowFirstColumn="0" w:lastRowLastColumn="0"/>
              <w:rPr>
                <w:b/>
                <w:bCs w:val="0"/>
              </w:rPr>
            </w:pPr>
            <w:r w:rsidRPr="00B5666F">
              <w:rPr>
                <w:b/>
                <w:bCs w:val="0"/>
              </w:rPr>
              <w:t>1.3</w:t>
            </w:r>
          </w:p>
        </w:tc>
        <w:tc>
          <w:tcPr>
            <w:tcW w:w="810" w:type="pct"/>
            <w:vAlign w:val="top"/>
          </w:tcPr>
          <w:p w:rsidRPr="00B5666F" w:rsidR="00A07F41" w:rsidP="00A07F41" w:rsidRDefault="00A07F41" w14:paraId="301B584B" w14:textId="67A0B87A">
            <w:pPr>
              <w:pStyle w:val="Tablesubsectionheading"/>
              <w:ind w:right="0"/>
              <w:jc w:val="center"/>
              <w:cnfStyle w:val="000000010000" w:firstRow="0" w:lastRow="0" w:firstColumn="0" w:lastColumn="0" w:oddVBand="0" w:evenVBand="0" w:oddHBand="0" w:evenHBand="1" w:firstRowFirstColumn="0" w:firstRowLastColumn="0" w:lastRowFirstColumn="0" w:lastRowLastColumn="0"/>
              <w:rPr>
                <w:b/>
                <w:bCs w:val="0"/>
              </w:rPr>
            </w:pPr>
            <w:r w:rsidRPr="00B5666F">
              <w:rPr>
                <w:b/>
                <w:bCs w:val="0"/>
              </w:rPr>
              <w:t>1.6</w:t>
            </w:r>
          </w:p>
        </w:tc>
      </w:tr>
      <w:tr w:rsidRPr="00F21589" w:rsidR="00A07F41" w:rsidTr="00312D1C" w14:paraId="21A5729F" w14:textId="36068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top"/>
          </w:tcPr>
          <w:p w:rsidRPr="00AB2D5C" w:rsidR="00A07F41" w:rsidP="00A07F41" w:rsidRDefault="00A07F41" w14:paraId="661DA882" w14:textId="179668C0">
            <w:pPr>
              <w:pStyle w:val="Tablecopyleft"/>
              <w:ind w:right="0"/>
              <w:rPr>
                <w:b w:val="0"/>
                <w:bCs/>
              </w:rPr>
            </w:pPr>
            <w:r w:rsidRPr="00AB2D5C">
              <w:rPr>
                <w:b w:val="0"/>
                <w:bCs/>
              </w:rPr>
              <w:t>Loans &amp; absolute return credit</w:t>
            </w:r>
          </w:p>
        </w:tc>
        <w:tc>
          <w:tcPr>
            <w:tcW w:w="641" w:type="pct"/>
            <w:vAlign w:val="top"/>
          </w:tcPr>
          <w:p w:rsidRPr="00AB2D5C" w:rsidR="00A07F41" w:rsidP="00A07F41" w:rsidRDefault="00A07F41" w14:paraId="1AD68202" w14:textId="6659304F">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0.0</w:t>
            </w:r>
          </w:p>
        </w:tc>
        <w:tc>
          <w:tcPr>
            <w:tcW w:w="922" w:type="pct"/>
            <w:vAlign w:val="top"/>
          </w:tcPr>
          <w:p w:rsidRPr="00AB2D5C" w:rsidR="00A07F41" w:rsidP="00A07F41" w:rsidRDefault="00A07F41" w14:paraId="32464717" w14:textId="232E6E9B">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0.0</w:t>
            </w:r>
          </w:p>
        </w:tc>
        <w:tc>
          <w:tcPr>
            <w:tcW w:w="736" w:type="pct"/>
            <w:vAlign w:val="top"/>
          </w:tcPr>
          <w:p w:rsidRPr="00AB2D5C" w:rsidR="00A07F41" w:rsidP="00A07F41" w:rsidRDefault="00A07F41" w14:paraId="4D221851" w14:textId="49185943">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0.0</w:t>
            </w:r>
          </w:p>
        </w:tc>
        <w:tc>
          <w:tcPr>
            <w:tcW w:w="734" w:type="pct"/>
            <w:vAlign w:val="top"/>
          </w:tcPr>
          <w:p w:rsidRPr="00AB2D5C" w:rsidR="00A07F41" w:rsidP="00A07F41" w:rsidRDefault="00A07F41" w14:paraId="300BC8E6" w14:textId="1F7F2F52">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0.0</w:t>
            </w:r>
          </w:p>
        </w:tc>
        <w:tc>
          <w:tcPr>
            <w:tcW w:w="810" w:type="pct"/>
            <w:vAlign w:val="top"/>
          </w:tcPr>
          <w:p w:rsidRPr="00AB2D5C" w:rsidR="00A07F41" w:rsidP="00A07F41" w:rsidRDefault="00A07F41" w14:paraId="4F26E17E" w14:textId="5E2D457F">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0.0</w:t>
            </w:r>
          </w:p>
        </w:tc>
      </w:tr>
      <w:tr w:rsidRPr="00F21589" w:rsidR="00A07F41" w:rsidTr="00312D1C" w14:paraId="31C22621" w14:textId="24359C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top"/>
          </w:tcPr>
          <w:p w:rsidRPr="00AB2D5C" w:rsidR="00A07F41" w:rsidP="00A07F41" w:rsidRDefault="00A07F41" w14:paraId="62E18746" w14:textId="003D44FA">
            <w:pPr>
              <w:pStyle w:val="Tablecopyleft"/>
              <w:ind w:right="0"/>
              <w:rPr>
                <w:b w:val="0"/>
                <w:bCs/>
              </w:rPr>
            </w:pPr>
            <w:r w:rsidRPr="00AB2D5C">
              <w:rPr>
                <w:b w:val="0"/>
                <w:bCs/>
              </w:rPr>
              <w:t>Australian fixed income</w:t>
            </w:r>
          </w:p>
        </w:tc>
        <w:tc>
          <w:tcPr>
            <w:tcW w:w="641" w:type="pct"/>
            <w:vAlign w:val="top"/>
          </w:tcPr>
          <w:p w:rsidRPr="00AB2D5C" w:rsidR="00A07F41" w:rsidP="00A07F41" w:rsidRDefault="00A07F41" w14:paraId="010F7CB9" w14:textId="0DC5432A">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22.0</w:t>
            </w:r>
          </w:p>
        </w:tc>
        <w:tc>
          <w:tcPr>
            <w:tcW w:w="922" w:type="pct"/>
            <w:vAlign w:val="top"/>
          </w:tcPr>
          <w:p w:rsidRPr="00AB2D5C" w:rsidR="00A07F41" w:rsidP="00A07F41" w:rsidRDefault="00A07F41" w14:paraId="4A307516" w14:textId="3038F4B2">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13.1</w:t>
            </w:r>
          </w:p>
        </w:tc>
        <w:tc>
          <w:tcPr>
            <w:tcW w:w="736" w:type="pct"/>
            <w:vAlign w:val="top"/>
          </w:tcPr>
          <w:p w:rsidRPr="00AB2D5C" w:rsidR="00A07F41" w:rsidP="00A07F41" w:rsidRDefault="00A07F41" w14:paraId="4008A975" w14:textId="4B6F2635">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3.4</w:t>
            </w:r>
          </w:p>
        </w:tc>
        <w:tc>
          <w:tcPr>
            <w:tcW w:w="734" w:type="pct"/>
            <w:vAlign w:val="top"/>
          </w:tcPr>
          <w:p w:rsidRPr="00AB2D5C" w:rsidR="00A07F41" w:rsidP="00A07F41" w:rsidRDefault="00A07F41" w14:paraId="2759B1FD" w14:textId="2B637BC5">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0.0</w:t>
            </w:r>
          </w:p>
        </w:tc>
        <w:tc>
          <w:tcPr>
            <w:tcW w:w="810" w:type="pct"/>
            <w:vAlign w:val="top"/>
          </w:tcPr>
          <w:p w:rsidRPr="00AB2D5C" w:rsidR="00A07F41" w:rsidP="00A07F41" w:rsidRDefault="00A07F41" w14:paraId="370E1180" w14:textId="0B68D5C1">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0.0</w:t>
            </w:r>
          </w:p>
        </w:tc>
      </w:tr>
      <w:tr w:rsidRPr="00F21589" w:rsidR="00A07F41" w:rsidTr="00312D1C" w14:paraId="2E0CB202" w14:textId="565BC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top"/>
          </w:tcPr>
          <w:p w:rsidRPr="00AB2D5C" w:rsidR="00A07F41" w:rsidP="00A07F41" w:rsidRDefault="00A07F41" w14:paraId="6BA26E3B" w14:textId="498BD947">
            <w:pPr>
              <w:pStyle w:val="Tablecopyleft"/>
              <w:ind w:right="0"/>
              <w:rPr>
                <w:b w:val="0"/>
                <w:bCs/>
              </w:rPr>
            </w:pPr>
            <w:r w:rsidRPr="00AB2D5C">
              <w:rPr>
                <w:b w:val="0"/>
                <w:bCs/>
              </w:rPr>
              <w:t>Global fixed income</w:t>
            </w:r>
          </w:p>
        </w:tc>
        <w:tc>
          <w:tcPr>
            <w:tcW w:w="641" w:type="pct"/>
            <w:vAlign w:val="top"/>
          </w:tcPr>
          <w:p w:rsidRPr="00AB2D5C" w:rsidR="00A07F41" w:rsidP="00A07F41" w:rsidRDefault="00A07F41" w14:paraId="516BC5D8" w14:textId="6B6C9E09">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13.3</w:t>
            </w:r>
          </w:p>
        </w:tc>
        <w:tc>
          <w:tcPr>
            <w:tcW w:w="922" w:type="pct"/>
            <w:vAlign w:val="top"/>
          </w:tcPr>
          <w:p w:rsidRPr="00AB2D5C" w:rsidR="00A07F41" w:rsidP="00A07F41" w:rsidRDefault="00A07F41" w14:paraId="2E91C56A" w14:textId="78E15480">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7.3</w:t>
            </w:r>
          </w:p>
        </w:tc>
        <w:tc>
          <w:tcPr>
            <w:tcW w:w="736" w:type="pct"/>
            <w:vAlign w:val="top"/>
          </w:tcPr>
          <w:p w:rsidRPr="00AB2D5C" w:rsidR="00A07F41" w:rsidP="00A07F41" w:rsidRDefault="00A07F41" w14:paraId="294F3419" w14:textId="2B792247">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1.9</w:t>
            </w:r>
          </w:p>
        </w:tc>
        <w:tc>
          <w:tcPr>
            <w:tcW w:w="734" w:type="pct"/>
            <w:vAlign w:val="top"/>
          </w:tcPr>
          <w:p w:rsidRPr="00AB2D5C" w:rsidR="00A07F41" w:rsidP="00A07F41" w:rsidRDefault="00A07F41" w14:paraId="5E8E6C96" w14:textId="58DC684A">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0.0</w:t>
            </w:r>
          </w:p>
        </w:tc>
        <w:tc>
          <w:tcPr>
            <w:tcW w:w="810" w:type="pct"/>
            <w:vAlign w:val="top"/>
          </w:tcPr>
          <w:p w:rsidRPr="00AB2D5C" w:rsidR="00A07F41" w:rsidP="00A07F41" w:rsidRDefault="00A07F41" w14:paraId="18E8979A" w14:textId="15422F0A">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0.0</w:t>
            </w:r>
          </w:p>
        </w:tc>
      </w:tr>
      <w:tr w:rsidRPr="00F21589" w:rsidR="00A07F41" w:rsidTr="00312D1C" w14:paraId="215049B9" w14:textId="501EA2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top"/>
          </w:tcPr>
          <w:p w:rsidRPr="00AB2D5C" w:rsidR="00A07F41" w:rsidP="00A07F41" w:rsidRDefault="00A07F41" w14:paraId="05D55459" w14:textId="151B43F3">
            <w:pPr>
              <w:pStyle w:val="Tablecopyleft"/>
              <w:ind w:right="0"/>
              <w:rPr>
                <w:b w:val="0"/>
                <w:bCs/>
              </w:rPr>
            </w:pPr>
            <w:r w:rsidRPr="00AB2D5C">
              <w:rPr>
                <w:b w:val="0"/>
                <w:bCs/>
              </w:rPr>
              <w:t>Defensive alternatives</w:t>
            </w:r>
          </w:p>
        </w:tc>
        <w:tc>
          <w:tcPr>
            <w:tcW w:w="641" w:type="pct"/>
            <w:vAlign w:val="top"/>
          </w:tcPr>
          <w:p w:rsidRPr="00AB2D5C" w:rsidR="00A07F41" w:rsidP="00A07F41" w:rsidRDefault="00A07F41" w14:paraId="6411A02A" w14:textId="29F3EC28">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0.0</w:t>
            </w:r>
          </w:p>
        </w:tc>
        <w:tc>
          <w:tcPr>
            <w:tcW w:w="922" w:type="pct"/>
            <w:vAlign w:val="top"/>
          </w:tcPr>
          <w:p w:rsidRPr="00AB2D5C" w:rsidR="00A07F41" w:rsidP="00A07F41" w:rsidRDefault="00A07F41" w14:paraId="133A5030" w14:textId="52854311">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0.0</w:t>
            </w:r>
          </w:p>
        </w:tc>
        <w:tc>
          <w:tcPr>
            <w:tcW w:w="736" w:type="pct"/>
            <w:vAlign w:val="top"/>
          </w:tcPr>
          <w:p w:rsidRPr="00AB2D5C" w:rsidR="00A07F41" w:rsidP="00A07F41" w:rsidRDefault="00A07F41" w14:paraId="3F230E9D" w14:textId="664BECCF">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0.0</w:t>
            </w:r>
          </w:p>
        </w:tc>
        <w:tc>
          <w:tcPr>
            <w:tcW w:w="734" w:type="pct"/>
            <w:vAlign w:val="top"/>
          </w:tcPr>
          <w:p w:rsidRPr="00AB2D5C" w:rsidR="00A07F41" w:rsidP="00A07F41" w:rsidRDefault="00A07F41" w14:paraId="3EF47A52" w14:textId="71D94A51">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0.0</w:t>
            </w:r>
          </w:p>
        </w:tc>
        <w:tc>
          <w:tcPr>
            <w:tcW w:w="810" w:type="pct"/>
            <w:vAlign w:val="top"/>
          </w:tcPr>
          <w:p w:rsidRPr="00AB2D5C" w:rsidR="00A07F41" w:rsidP="00A07F41" w:rsidRDefault="00A07F41" w14:paraId="44057B19" w14:textId="32235558">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0.0</w:t>
            </w:r>
          </w:p>
        </w:tc>
      </w:tr>
      <w:tr w:rsidRPr="00F21589" w:rsidR="00A07F41" w:rsidTr="00312D1C" w14:paraId="1A898C86" w14:textId="26185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top"/>
          </w:tcPr>
          <w:p w:rsidRPr="00AB2D5C" w:rsidR="00A07F41" w:rsidP="00A07F41" w:rsidRDefault="00A07F41" w14:paraId="27301DEC" w14:textId="520A8A42">
            <w:pPr>
              <w:pStyle w:val="Tablecopyleft"/>
              <w:ind w:right="0"/>
              <w:rPr>
                <w:b w:val="0"/>
                <w:bCs/>
              </w:rPr>
            </w:pPr>
            <w:r w:rsidRPr="00AB2D5C">
              <w:rPr>
                <w:b w:val="0"/>
                <w:bCs/>
              </w:rPr>
              <w:t>Short-term credit</w:t>
            </w:r>
          </w:p>
        </w:tc>
        <w:tc>
          <w:tcPr>
            <w:tcW w:w="641" w:type="pct"/>
            <w:vAlign w:val="top"/>
          </w:tcPr>
          <w:p w:rsidRPr="00AB2D5C" w:rsidR="00A07F41" w:rsidP="00A07F41" w:rsidRDefault="00A07F41" w14:paraId="7BF8AAFE" w14:textId="2AE9AD40">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0.0</w:t>
            </w:r>
          </w:p>
        </w:tc>
        <w:tc>
          <w:tcPr>
            <w:tcW w:w="922" w:type="pct"/>
            <w:vAlign w:val="top"/>
          </w:tcPr>
          <w:p w:rsidRPr="00AB2D5C" w:rsidR="00A07F41" w:rsidP="00A07F41" w:rsidRDefault="00A07F41" w14:paraId="0DC4BE53" w14:textId="0D46A787">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0.0</w:t>
            </w:r>
          </w:p>
        </w:tc>
        <w:tc>
          <w:tcPr>
            <w:tcW w:w="736" w:type="pct"/>
            <w:vAlign w:val="top"/>
          </w:tcPr>
          <w:p w:rsidRPr="00AB2D5C" w:rsidR="00A07F41" w:rsidP="00A07F41" w:rsidRDefault="00A07F41" w14:paraId="4FC626EE" w14:textId="07188189">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0.0</w:t>
            </w:r>
          </w:p>
        </w:tc>
        <w:tc>
          <w:tcPr>
            <w:tcW w:w="734" w:type="pct"/>
            <w:vAlign w:val="top"/>
          </w:tcPr>
          <w:p w:rsidRPr="00AB2D5C" w:rsidR="00A07F41" w:rsidP="00A07F41" w:rsidRDefault="00A07F41" w14:paraId="7FD05BD0" w14:textId="4FBDBF87">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0.0</w:t>
            </w:r>
          </w:p>
        </w:tc>
        <w:tc>
          <w:tcPr>
            <w:tcW w:w="810" w:type="pct"/>
            <w:vAlign w:val="top"/>
          </w:tcPr>
          <w:p w:rsidRPr="00AB2D5C" w:rsidR="00A07F41" w:rsidP="00A07F41" w:rsidRDefault="00A07F41" w14:paraId="775F3538" w14:textId="153F6736">
            <w:pPr>
              <w:pStyle w:val="Tablecopyleft"/>
              <w:ind w:right="0"/>
              <w:jc w:val="center"/>
              <w:cnfStyle w:val="000000100000" w:firstRow="0" w:lastRow="0" w:firstColumn="0" w:lastColumn="0" w:oddVBand="0" w:evenVBand="0" w:oddHBand="1" w:evenHBand="0" w:firstRowFirstColumn="0" w:firstRowLastColumn="0" w:lastRowFirstColumn="0" w:lastRowLastColumn="0"/>
            </w:pPr>
            <w:r w:rsidRPr="0044088B">
              <w:t>0.0</w:t>
            </w:r>
          </w:p>
        </w:tc>
      </w:tr>
      <w:tr w:rsidRPr="00F21589" w:rsidR="00A07F41" w:rsidTr="00312D1C" w14:paraId="14C8212F" w14:textId="144784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top"/>
          </w:tcPr>
          <w:p w:rsidRPr="00AB2D5C" w:rsidR="00A07F41" w:rsidP="00A07F41" w:rsidRDefault="00A07F41" w14:paraId="651BCC5A" w14:textId="7966DCAA">
            <w:pPr>
              <w:pStyle w:val="Tablecopyleft"/>
              <w:ind w:right="0"/>
              <w:rPr>
                <w:b w:val="0"/>
                <w:bCs/>
              </w:rPr>
            </w:pPr>
            <w:r w:rsidRPr="00AB2D5C">
              <w:rPr>
                <w:b w:val="0"/>
                <w:bCs/>
              </w:rPr>
              <w:t xml:space="preserve">Cash </w:t>
            </w:r>
          </w:p>
        </w:tc>
        <w:tc>
          <w:tcPr>
            <w:tcW w:w="641" w:type="pct"/>
            <w:vAlign w:val="top"/>
          </w:tcPr>
          <w:p w:rsidRPr="00AB2D5C" w:rsidR="00A07F41" w:rsidP="00A07F41" w:rsidRDefault="00A07F41" w14:paraId="767B972C" w14:textId="61254AC6">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10.3</w:t>
            </w:r>
          </w:p>
        </w:tc>
        <w:tc>
          <w:tcPr>
            <w:tcW w:w="922" w:type="pct"/>
            <w:vAlign w:val="top"/>
          </w:tcPr>
          <w:p w:rsidRPr="00AB2D5C" w:rsidR="00A07F41" w:rsidP="00A07F41" w:rsidRDefault="00A07F41" w14:paraId="7E636433" w14:textId="4F7FC880">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5.7</w:t>
            </w:r>
          </w:p>
        </w:tc>
        <w:tc>
          <w:tcPr>
            <w:tcW w:w="736" w:type="pct"/>
            <w:vAlign w:val="top"/>
          </w:tcPr>
          <w:p w:rsidRPr="00AB2D5C" w:rsidR="00A07F41" w:rsidP="00A07F41" w:rsidRDefault="00A07F41" w14:paraId="4607E40D" w14:textId="346F62AC">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1.8</w:t>
            </w:r>
          </w:p>
        </w:tc>
        <w:tc>
          <w:tcPr>
            <w:tcW w:w="734" w:type="pct"/>
            <w:vAlign w:val="top"/>
          </w:tcPr>
          <w:p w:rsidRPr="00AB2D5C" w:rsidR="00A07F41" w:rsidP="00A07F41" w:rsidRDefault="00A07F41" w14:paraId="37C49360" w14:textId="346B04F8">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1.3</w:t>
            </w:r>
          </w:p>
        </w:tc>
        <w:tc>
          <w:tcPr>
            <w:tcW w:w="810" w:type="pct"/>
            <w:vAlign w:val="top"/>
          </w:tcPr>
          <w:p w:rsidRPr="00AB2D5C" w:rsidR="00A07F41" w:rsidP="00A07F41" w:rsidRDefault="00A07F41" w14:paraId="0B569CC0" w14:textId="0DAE2A2C">
            <w:pPr>
              <w:pStyle w:val="Tablecopyleft"/>
              <w:ind w:right="0"/>
              <w:jc w:val="center"/>
              <w:cnfStyle w:val="000000010000" w:firstRow="0" w:lastRow="0" w:firstColumn="0" w:lastColumn="0" w:oddVBand="0" w:evenVBand="0" w:oddHBand="0" w:evenHBand="1" w:firstRowFirstColumn="0" w:firstRowLastColumn="0" w:lastRowFirstColumn="0" w:lastRowLastColumn="0"/>
            </w:pPr>
            <w:r w:rsidRPr="0044088B">
              <w:t>1.6</w:t>
            </w:r>
          </w:p>
        </w:tc>
      </w:tr>
    </w:tbl>
    <w:p w:rsidR="00AB2D5C" w:rsidP="00AB2D5C" w:rsidRDefault="00AB2D5C" w14:paraId="14173540" w14:textId="3ADAF8A1">
      <w:pPr>
        <w:pStyle w:val="Heading1"/>
      </w:pPr>
      <w:r>
        <w:t>Effective date</w:t>
      </w:r>
    </w:p>
    <w:p w:rsidR="00AB2D5C" w:rsidP="00AB2D5C" w:rsidRDefault="00AB2D5C" w14:paraId="3ACDC088" w14:textId="77777777">
      <w:pPr>
        <w:pStyle w:val="Orangeline"/>
        <w:ind w:right="0"/>
      </w:pPr>
    </w:p>
    <w:p w:rsidRPr="00AB2D5C" w:rsidR="00AB2D5C" w:rsidP="00AB2D5C" w:rsidRDefault="00AB2D5C" w14:paraId="352E28F8" w14:textId="26CF12D9">
      <w:pPr>
        <w:pStyle w:val="Bodycopy"/>
        <w:ind w:right="0"/>
      </w:pPr>
      <w:r w:rsidRPr="00AB2D5C">
        <w:t>These changes were completed</w:t>
      </w:r>
      <w:r w:rsidR="008D0AF5">
        <w:t xml:space="preserve"> by </w:t>
      </w:r>
      <w:r w:rsidR="007C73E4">
        <w:t>30 January</w:t>
      </w:r>
      <w:r w:rsidR="008D0AF5">
        <w:t xml:space="preserve"> 2026</w:t>
      </w:r>
      <w:r w:rsidRPr="00AB2D5C">
        <w:t>.</w:t>
      </w:r>
    </w:p>
    <w:p w:rsidR="00AB2D5C" w:rsidP="00AB2D5C" w:rsidRDefault="00AB2D5C" w14:paraId="56D77001" w14:textId="77777777">
      <w:pPr>
        <w:spacing w:after="280" w:line="280" w:lineRule="exact"/>
        <w:rPr>
          <w:rFonts w:eastAsia="Calibri" w:cs="Times New Roman"/>
          <w:color w:val="000060" w:themeColor="accent1"/>
          <w:sz w:val="20"/>
        </w:rPr>
      </w:pPr>
    </w:p>
    <w:p w:rsidR="0014143B" w:rsidP="00AB2D5C" w:rsidRDefault="004F35AF" w14:paraId="7D2FB0D2" w14:textId="07C6794D">
      <w:pPr>
        <w:spacing w:after="280" w:line="280" w:lineRule="exact"/>
        <w:ind w:firstLine="187"/>
        <w:sectPr w:rsidR="0014143B" w:rsidSect="00AB2D5C">
          <w:footerReference w:type="default" r:id="rId13"/>
          <w:footerReference w:type="first" r:id="rId14"/>
          <w:type w:val="continuous"/>
          <w:pgSz w:w="11906" w:h="16838" w:orient="portrait" w:code="9"/>
          <w:pgMar w:top="1138" w:right="1133" w:bottom="1728" w:left="1138" w:header="576" w:footer="360" w:gutter="0"/>
          <w:cols w:space="720"/>
          <w:titlePg/>
          <w:docGrid w:linePitch="360"/>
        </w:sectPr>
      </w:pPr>
      <w:r>
        <w:br w:type="page"/>
      </w:r>
    </w:p>
    <w:p w:rsidRPr="00424C8C" w:rsidR="00B064BA" w:rsidP="00AB2D5C" w:rsidRDefault="00B064BA" w14:paraId="6427E1F1" w14:textId="26BE6E65">
      <w:pPr>
        <w:pStyle w:val="Bodycopy"/>
      </w:pPr>
      <w:bookmarkStart w:name="_Hlk205980632" w:id="4"/>
      <w:bookmarkStart w:name="_Hlk122960407" w:id="5"/>
    </w:p>
    <w:bookmarkEnd w:id="4"/>
    <w:p w:rsidR="00B064BA" w:rsidP="00B064BA" w:rsidRDefault="00B064BA" w14:paraId="6913C04D" w14:textId="77777777">
      <w:pPr>
        <w:pStyle w:val="Calltoactionheading"/>
      </w:pPr>
      <w:r>
        <w:t>Where to next</w:t>
      </w:r>
      <w:r w:rsidRPr="00AC68ED">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57"/>
        <w:gridCol w:w="4853"/>
      </w:tblGrid>
      <w:tr w:rsidR="00B064BA" w14:paraId="334FB1CB" w14:textId="77777777">
        <w:trPr>
          <w:trHeight w:val="1008"/>
        </w:trPr>
        <w:tc>
          <w:tcPr>
            <w:tcW w:w="1357" w:type="dxa"/>
            <w:vAlign w:val="center"/>
          </w:tcPr>
          <w:p w:rsidR="00B064BA" w:rsidRDefault="00B064BA" w14:paraId="35C53D70" w14:textId="77777777">
            <w:pPr>
              <w:pStyle w:val="Tablecopyleft"/>
            </w:pPr>
            <w:bookmarkStart w:name="_Hlk86845863" w:id="6"/>
            <w:bookmarkStart w:name="_Hlk92105723" w:id="7"/>
            <w:r>
              <w:rPr>
                <w:noProof/>
              </w:rPr>
              <w:drawing>
                <wp:inline distT="0" distB="0" distL="0" distR="0" wp14:anchorId="2D59AF13" wp14:editId="1E7BEE59">
                  <wp:extent cx="728950" cy="667358"/>
                  <wp:effectExtent l="0" t="0" r="0" b="0"/>
                  <wp:docPr id="684764732" name="Picture 4" descr="An orange circle with arrow pointing to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64732" name="Picture 4" descr="An orange circle with arrow pointing to the center&#10;&#10;AI-generated content may be incorrect."/>
                          <pic:cNvPicPr/>
                        </pic:nvPicPr>
                        <pic:blipFill rotWithShape="1">
                          <a:blip r:embed="rId15" cstate="print">
                            <a:extLst>
                              <a:ext uri="{28A0092B-C50C-407E-A947-70E740481C1C}">
                                <a14:useLocalDpi xmlns:a14="http://schemas.microsoft.com/office/drawing/2010/main" val="0"/>
                              </a:ext>
                            </a:extLst>
                          </a:blip>
                          <a:srcRect l="-2778" t="-15761" r="-1" b="-6037"/>
                          <a:stretch>
                            <a:fillRect/>
                          </a:stretch>
                        </pic:blipFill>
                        <pic:spPr bwMode="auto">
                          <a:xfrm>
                            <a:off x="0" y="0"/>
                            <a:ext cx="733043" cy="671105"/>
                          </a:xfrm>
                          <a:prstGeom prst="rect">
                            <a:avLst/>
                          </a:prstGeom>
                          <a:solidFill>
                            <a:schemeClr val="bg1"/>
                          </a:solidFill>
                          <a:ln>
                            <a:noFill/>
                          </a:ln>
                          <a:extLst>
                            <a:ext uri="{53640926-AAD7-44D8-BBD7-CCE9431645EC}">
                              <a14:shadowObscured xmlns:a14="http://schemas.microsoft.com/office/drawing/2010/main"/>
                            </a:ext>
                          </a:extLst>
                        </pic:spPr>
                      </pic:pic>
                    </a:graphicData>
                  </a:graphic>
                </wp:inline>
              </w:drawing>
            </w:r>
          </w:p>
        </w:tc>
        <w:tc>
          <w:tcPr>
            <w:tcW w:w="4853" w:type="dxa"/>
            <w:vAlign w:val="center"/>
          </w:tcPr>
          <w:p w:rsidRPr="00873739" w:rsidR="00B064BA" w:rsidRDefault="00C147FF" w14:paraId="6AD2C801" w14:textId="2473B0B3">
            <w:pPr>
              <w:pStyle w:val="Calltoactionbody"/>
            </w:pPr>
            <w:hyperlink w:history="1" r:id="rId16">
              <w:r w:rsidRPr="00C147FF">
                <w:rPr>
                  <w:rStyle w:val="Hyperlink"/>
                  <w:b/>
                  <w:bCs/>
                </w:rPr>
                <w:t>Meet the team</w:t>
              </w:r>
            </w:hyperlink>
            <w:r w:rsidRPr="00C147FF" w:rsidR="00B064BA">
              <w:rPr>
                <w:b/>
                <w:bCs/>
              </w:rPr>
              <w:br/>
            </w:r>
            <w:r w:rsidRPr="00AC68ED" w:rsidR="00B064BA">
              <w:t xml:space="preserve">or visit </w:t>
            </w:r>
            <w:hyperlink w:history="1" r:id="rId17">
              <w:r w:rsidRPr="00490CCF" w:rsidR="00B064BA">
                <w:rPr>
                  <w:rStyle w:val="CalltoactionCHAR"/>
                </w:rPr>
                <w:t>russellinvestments.co</w:t>
              </w:r>
              <w:r>
                <w:rPr>
                  <w:rStyle w:val="CalltoactionCHAR"/>
                </w:rPr>
                <w:t>m.au</w:t>
              </w:r>
            </w:hyperlink>
          </w:p>
        </w:tc>
      </w:tr>
    </w:tbl>
    <w:bookmarkEnd w:id="6"/>
    <w:bookmarkEnd w:id="7"/>
    <w:p w:rsidRPr="00B064BA" w:rsidR="00B064BA" w:rsidP="00807CAD" w:rsidRDefault="00B064BA" w14:paraId="13649416" w14:textId="77777777">
      <w:pPr>
        <w:pStyle w:val="AboutRussell"/>
      </w:pPr>
      <w:r>
        <w:t>About Russell Investments</w:t>
      </w:r>
    </w:p>
    <w:p w:rsidRPr="00E259D3" w:rsidR="00B064BA" w:rsidP="00134065" w:rsidRDefault="00D96D39" w14:paraId="1491D395" w14:textId="77777777">
      <w:pPr>
        <w:pStyle w:val="Aboutbodycopy"/>
      </w:pPr>
      <w:r w:rsidRPr="00E259D3">
        <w:t>Russell Investments is a leading global investment solutions partner providing a wide range of investment capabilities to institutional investors, financial intermediaries, and individual investors around the world. Since 1936, Russell Investments has been building a legacy of continuous innovation to deliver exceptional value to clients, working every day to improve people’s financial security. Headquartered in Seattle, Washington, Russell Investments has offices worldwide, including: Dubai, London, Mumbai, New York, Paris, Shanghai, Sydney, Tokyo, and Toronto.</w:t>
      </w:r>
    </w:p>
    <w:p w:rsidR="0014143B" w:rsidP="00134065" w:rsidRDefault="0014143B" w14:paraId="396EA876" w14:textId="77777777">
      <w:pPr>
        <w:pStyle w:val="Aboutbodycopy"/>
      </w:pPr>
    </w:p>
    <w:p w:rsidR="0014143B" w:rsidP="00134065" w:rsidRDefault="0014143B" w14:paraId="65418C95" w14:textId="77777777">
      <w:pPr>
        <w:pStyle w:val="Aboutbodycopy"/>
      </w:pPr>
    </w:p>
    <w:p w:rsidRPr="005172EC" w:rsidR="0014143B" w:rsidP="00134065" w:rsidRDefault="0014143B" w14:paraId="1EBB288B" w14:textId="77777777">
      <w:pPr>
        <w:pStyle w:val="Aboutbodycopy"/>
      </w:pPr>
    </w:p>
    <w:p w:rsidR="0014143B" w:rsidP="00134065" w:rsidRDefault="0014143B" w14:paraId="0D0F0C01" w14:textId="77777777">
      <w:pPr>
        <w:pStyle w:val="Aboutbodycopy"/>
      </w:pPr>
    </w:p>
    <w:p w:rsidR="00B064BA" w:rsidP="00134065" w:rsidRDefault="00B064BA" w14:paraId="154C3BFC" w14:textId="77777777">
      <w:pPr>
        <w:pStyle w:val="Aboutbodycopy"/>
      </w:pPr>
    </w:p>
    <w:p w:rsidR="00AB37A6" w:rsidP="00134065" w:rsidRDefault="00AB37A6" w14:paraId="28A6002D" w14:textId="77777777">
      <w:pPr>
        <w:pStyle w:val="Aboutbodycopy"/>
      </w:pPr>
    </w:p>
    <w:p w:rsidR="00747117" w:rsidP="00134065" w:rsidRDefault="00747117" w14:paraId="036178B9" w14:textId="77777777">
      <w:pPr>
        <w:pStyle w:val="Aboutbodycopy"/>
      </w:pPr>
    </w:p>
    <w:p w:rsidR="00747117" w:rsidP="00134065" w:rsidRDefault="00747117" w14:paraId="4D60F16D" w14:textId="77777777">
      <w:pPr>
        <w:pStyle w:val="Aboutbodycopy"/>
      </w:pPr>
    </w:p>
    <w:p w:rsidR="00747117" w:rsidP="00134065" w:rsidRDefault="00747117" w14:paraId="1B1AC07C" w14:textId="77777777">
      <w:pPr>
        <w:pStyle w:val="Aboutbodycopy"/>
      </w:pPr>
    </w:p>
    <w:p w:rsidR="00747117" w:rsidP="00134065" w:rsidRDefault="00747117" w14:paraId="6C571F60" w14:textId="77777777">
      <w:pPr>
        <w:pStyle w:val="Aboutbodycopy"/>
      </w:pPr>
    </w:p>
    <w:p w:rsidR="00747117" w:rsidP="00134065" w:rsidRDefault="00747117" w14:paraId="655B86E8" w14:textId="77777777">
      <w:pPr>
        <w:pStyle w:val="Aboutbodycopy"/>
      </w:pPr>
    </w:p>
    <w:p w:rsidR="00747117" w:rsidP="00134065" w:rsidRDefault="00747117" w14:paraId="035354D1" w14:textId="77777777">
      <w:pPr>
        <w:pStyle w:val="Aboutbodycopy"/>
      </w:pPr>
    </w:p>
    <w:p w:rsidR="00747117" w:rsidP="00134065" w:rsidRDefault="00747117" w14:paraId="2EE983EF" w14:textId="77777777">
      <w:pPr>
        <w:pStyle w:val="Aboutbodycopy"/>
      </w:pPr>
    </w:p>
    <w:p w:rsidR="00747117" w:rsidP="00134065" w:rsidRDefault="00747117" w14:paraId="4F772F88" w14:textId="77777777">
      <w:pPr>
        <w:pStyle w:val="Aboutbodycopy"/>
      </w:pPr>
    </w:p>
    <w:p w:rsidR="00747117" w:rsidP="00134065" w:rsidRDefault="00747117" w14:paraId="2A675EBB" w14:textId="77777777">
      <w:pPr>
        <w:pStyle w:val="Aboutbodycopy"/>
      </w:pPr>
    </w:p>
    <w:p w:rsidR="00747117" w:rsidP="00134065" w:rsidRDefault="00747117" w14:paraId="5AA9FC1B" w14:textId="77777777">
      <w:pPr>
        <w:pStyle w:val="Aboutbodycopy"/>
      </w:pPr>
    </w:p>
    <w:p w:rsidR="00747117" w:rsidP="00134065" w:rsidRDefault="00747117" w14:paraId="46397F49" w14:textId="77777777">
      <w:pPr>
        <w:pStyle w:val="Aboutbodycopy"/>
      </w:pPr>
    </w:p>
    <w:p w:rsidR="00747117" w:rsidP="00134065" w:rsidRDefault="00747117" w14:paraId="26D4E771" w14:textId="77777777">
      <w:pPr>
        <w:pStyle w:val="Aboutbodycopy"/>
      </w:pPr>
    </w:p>
    <w:p w:rsidRPr="005172EC" w:rsidR="00AB37A6" w:rsidP="00134065" w:rsidRDefault="00AB37A6" w14:paraId="50BF9E4F" w14:textId="77777777">
      <w:pPr>
        <w:pStyle w:val="Aboutbodycopy"/>
      </w:pPr>
    </w:p>
    <w:p w:rsidRPr="005172EC" w:rsidR="0014143B" w:rsidP="00134065" w:rsidRDefault="0014143B" w14:paraId="622928BE" w14:textId="77777777">
      <w:pPr>
        <w:pStyle w:val="Aboutbodycopy"/>
      </w:pPr>
    </w:p>
    <w:p w:rsidR="0014143B" w:rsidP="00134065" w:rsidRDefault="0014143B" w14:paraId="6D87A4A7" w14:textId="23C48C81">
      <w:pPr>
        <w:pStyle w:val="Aboutbodycopy"/>
      </w:pPr>
    </w:p>
    <w:p w:rsidR="00AB2D5C" w:rsidP="00134065" w:rsidRDefault="00AB2D5C" w14:paraId="5EFBE859" w14:textId="77777777">
      <w:pPr>
        <w:pStyle w:val="Aboutbodycopy"/>
      </w:pPr>
    </w:p>
    <w:p w:rsidR="00AB2D5C" w:rsidP="00134065" w:rsidRDefault="00AB2D5C" w14:paraId="008AF656" w14:textId="77777777">
      <w:pPr>
        <w:pStyle w:val="Aboutbodycopy"/>
      </w:pPr>
    </w:p>
    <w:p w:rsidRPr="005172EC" w:rsidR="0014143B" w:rsidP="00AB2D5C" w:rsidRDefault="00747117" w14:paraId="07C49D92" w14:textId="77777777">
      <w:pPr>
        <w:pStyle w:val="Back-disclosures"/>
      </w:pPr>
      <w:r w:rsidRPr="00747117">
        <w:t>For Professional Use Only</w:t>
      </w:r>
    </w:p>
    <w:p w:rsidR="0014143B" w:rsidP="00AB2D5C" w:rsidRDefault="0014143B" w14:paraId="1CDDAA1B" w14:textId="77777777">
      <w:pPr>
        <w:pStyle w:val="Back-disclosures"/>
        <w:sectPr w:rsidR="0014143B" w:rsidSect="003C3A47">
          <w:headerReference w:type="default" r:id="rId18"/>
          <w:footerReference w:type="default" r:id="rId19"/>
          <w:type w:val="continuous"/>
          <w:pgSz w:w="11906" w:h="16838" w:orient="portrait" w:code="9"/>
          <w:pgMar w:top="1138" w:right="4421" w:bottom="1296" w:left="1138" w:header="576" w:footer="360" w:gutter="0"/>
          <w:cols w:space="720"/>
          <w:docGrid w:linePitch="360"/>
        </w:sectPr>
      </w:pPr>
    </w:p>
    <w:p w:rsidRPr="00AB2D5C" w:rsidR="00AB2D5C" w:rsidP="00AB2D5C" w:rsidRDefault="00AB2D5C" w14:paraId="63265ABE" w14:textId="77777777">
      <w:pPr>
        <w:pStyle w:val="Back-disclosures"/>
      </w:pPr>
      <w:bookmarkStart w:name="_Hlk206148101" w:id="8"/>
      <w:r w:rsidRPr="00AB2D5C">
        <w:t xml:space="preserve">Issued by Russell Investment Management Ltd ABN 53 068 338 974, AFSL 247185 (RIM). This document contains factual information only about the Russell Investments Managed Portfolios. The information is not intended to imply any recommendation or opinion about a financial product. RIM is not providing financial product advice and you should consider obtaining independent advice before making any financial decisions. This information has been compiled from sources considered to be reliable but is not guaranteed.  </w:t>
      </w:r>
    </w:p>
    <w:p w:rsidRPr="00AB2D5C" w:rsidR="00AB2D5C" w:rsidP="00AB2D5C" w:rsidRDefault="00AB2D5C" w14:paraId="51741E30" w14:textId="77777777">
      <w:pPr>
        <w:pStyle w:val="Back-disclosures"/>
      </w:pPr>
      <w:r w:rsidRPr="00AB2D5C">
        <w:t xml:space="preserve">RIM is part of Russell Investments. RIM is the issuer of the Russell Investments Funds and Russell Investments ETFs mentioned in this document. Russell Investments or its associates, officers or employees may have interests in the financial products referred to in this information by acting in various roles including broker or adviser, and may receive fees, brokerage or commissions for acting in these capacities. In addition, Russell Investments or its associates, officers or employees may buy or sell the financial products as principal or agent. </w:t>
      </w:r>
    </w:p>
    <w:p w:rsidRPr="00AB2D5C" w:rsidR="00AB2D5C" w:rsidP="00AB2D5C" w:rsidRDefault="00AB2D5C" w14:paraId="6EB6F83E" w14:textId="77777777">
      <w:pPr>
        <w:pStyle w:val="Back-disclosures"/>
      </w:pPr>
      <w:r w:rsidRPr="00AB2D5C">
        <w:t>To the extent permitted by law, no liability is accepted for any loss or damage as a result of reliance on this information.</w:t>
      </w:r>
    </w:p>
    <w:p w:rsidRPr="00AB2D5C" w:rsidR="00AB2D5C" w:rsidP="00AB2D5C" w:rsidRDefault="00AB2D5C" w14:paraId="7C5E566F" w14:textId="77777777">
      <w:pPr>
        <w:pStyle w:val="Back-disclosures"/>
      </w:pPr>
      <w:r w:rsidRPr="00AB2D5C">
        <w:t xml:space="preserve">This material does not constitute professional advice or opinion and is not intended to be used as the basis for making an investment decision. </w:t>
      </w:r>
    </w:p>
    <w:p w:rsidR="00AB2D5C" w:rsidP="00AB2D5C" w:rsidRDefault="00AB2D5C" w14:paraId="4A26E087" w14:textId="6E958940">
      <w:pPr>
        <w:pStyle w:val="Back-disclosures"/>
      </w:pPr>
      <w:r w:rsidRPr="00AB2D5C">
        <w:t>This work is copyright 202</w:t>
      </w:r>
      <w:r>
        <w:t>6</w:t>
      </w:r>
      <w:r w:rsidRPr="00AB2D5C">
        <w:t xml:space="preserve">. Apart from any use permitted under the Copyright Act 1968, no part may be reproduced by any process, nor may any other exclusive right be exercised, without the permission of Russell Investment Management Ltd. </w:t>
      </w:r>
    </w:p>
    <w:bookmarkEnd w:id="2"/>
    <w:bookmarkEnd w:id="5"/>
    <w:bookmarkEnd w:id="8"/>
    <w:p w:rsidR="00AB2D5C" w:rsidP="00F828E1" w:rsidRDefault="00F828E1" w14:paraId="15B3E947" w14:textId="1F9DDD57">
      <w:pPr>
        <w:pStyle w:val="Back-disclosures"/>
      </w:pPr>
      <w:r w:rsidRPr="00F828E1">
        <w:t>[AUSF2-01960]</w:t>
      </w:r>
    </w:p>
    <w:sectPr w:rsidR="00AB2D5C" w:rsidSect="003C3A47">
      <w:footerReference w:type="default" r:id="rId20"/>
      <w:type w:val="continuous"/>
      <w:pgSz w:w="11906" w:h="16838" w:orient="portrait" w:code="9"/>
      <w:pgMar w:top="1138" w:right="1138" w:bottom="1296" w:left="1138" w:header="576" w:footer="360" w:gutter="0"/>
      <w:cols w:space="28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2F0922" w:rsidR="00053B02" w:rsidP="002F0922" w:rsidRDefault="00053B02" w14:paraId="7E5465D9" w14:textId="77777777">
      <w:pPr>
        <w:rPr>
          <w:color w:val="262626" w:themeColor="text1" w:themeTint="D9"/>
          <w:sz w:val="19"/>
        </w:rPr>
      </w:pPr>
      <w:r w:rsidRPr="002F0922">
        <w:rPr>
          <w:color w:val="262626" w:themeColor="text1" w:themeTint="D9"/>
          <w:sz w:val="19"/>
        </w:rPr>
        <w:t>________________________</w:t>
      </w:r>
    </w:p>
  </w:endnote>
  <w:endnote w:type="continuationSeparator" w:id="0">
    <w:p w:rsidRPr="002F0922" w:rsidR="00053B02" w:rsidP="002F0922" w:rsidRDefault="00053B02" w14:paraId="14BCB95E" w14:textId="77777777">
      <w:pPr>
        <w:rPr>
          <w:color w:val="262626" w:themeColor="text1" w:themeTint="D9"/>
        </w:rPr>
      </w:pPr>
      <w:r w:rsidRPr="002F0922">
        <w:rPr>
          <w:color w:val="262626" w:themeColor="text1" w:themeTint="D9"/>
        </w:rPr>
        <w:continuationSeparator/>
      </w:r>
    </w:p>
  </w:endnote>
  <w:endnote w:type="continuationNotice" w:id="1">
    <w:p w:rsidR="00053B02" w:rsidRDefault="00053B02" w14:paraId="1518880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F0355" w:rsidR="00F514CC" w:rsidP="00192792" w:rsidRDefault="00F514CC" w14:paraId="6D4D5810" w14:textId="389A7270">
    <w:pPr>
      <w:pStyle w:val="Footer"/>
    </w:pPr>
    <w:r>
      <w:rPr>
        <w:noProof/>
      </w:rPr>
      <w:drawing>
        <wp:inline distT="0" distB="0" distL="0" distR="0" wp14:anchorId="560ED5F9" wp14:editId="12339EC8">
          <wp:extent cx="1620314" cy="96253"/>
          <wp:effectExtent l="0" t="0" r="0" b="0"/>
          <wp:docPr id="1522759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49001" name="Picture 1832049001"/>
                  <pic:cNvPicPr/>
                </pic:nvPicPr>
                <pic:blipFill rotWithShape="1">
                  <a:blip r:embed="rId1">
                    <a:extLst>
                      <a:ext uri="{28A0092B-C50C-407E-A947-70E740481C1C}">
                        <a14:useLocalDpi xmlns:a14="http://schemas.microsoft.com/office/drawing/2010/main" val="0"/>
                      </a:ext>
                    </a:extLst>
                  </a:blip>
                  <a:srcRect t="-2" b="-5346"/>
                  <a:stretch>
                    <a:fillRect/>
                  </a:stretch>
                </pic:blipFill>
                <pic:spPr bwMode="auto">
                  <a:xfrm>
                    <a:off x="0" y="0"/>
                    <a:ext cx="1621539" cy="96326"/>
                  </a:xfrm>
                  <a:prstGeom prst="rect">
                    <a:avLst/>
                  </a:prstGeom>
                  <a:ln>
                    <a:noFill/>
                  </a:ln>
                  <a:extLst>
                    <a:ext uri="{53640926-AAD7-44D8-BBD7-CCE9431645EC}">
                      <a14:shadowObscured xmlns:a14="http://schemas.microsoft.com/office/drawing/2010/main"/>
                    </a:ext>
                  </a:extLst>
                </pic:spPr>
              </pic:pic>
            </a:graphicData>
          </a:graphic>
        </wp:inline>
      </w:drawing>
    </w:r>
    <w:r>
      <w:tab/>
    </w:r>
    <w:r w:rsidR="004F35AF">
      <w:t>For financial professional use only</w:t>
    </w:r>
    <w:r w:rsidRPr="00F514CC">
      <w:t> </w:t>
    </w:r>
    <w:r w:rsidRPr="00F514CC">
      <w:t>/</w:t>
    </w:r>
    <w:r w:rsidRPr="00F514CC">
      <w:tab/>
    </w:r>
    <w:r w:rsidRPr="00F514CC">
      <w:fldChar w:fldCharType="begin"/>
    </w:r>
    <w:r w:rsidRPr="00F514CC">
      <w:instrText xml:space="preserve"> PAGE   \* MERGEFORMAT </w:instrText>
    </w:r>
    <w:r w:rsidRPr="00F514CC">
      <w:fldChar w:fldCharType="separate"/>
    </w:r>
    <w:r w:rsidRPr="00F514CC">
      <w:t>2</w:t>
    </w:r>
    <w:r w:rsidRPr="00F514C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570F6" w:rsidR="00DC7304" w:rsidP="00BF0355" w:rsidRDefault="00503404" w14:paraId="4785FBAC" w14:textId="77777777">
    <w:pPr>
      <w:pStyle w:val="Footer"/>
      <w:tabs>
        <w:tab w:val="clear" w:pos="9214"/>
      </w:tabs>
    </w:pPr>
    <w:r>
      <w:rPr>
        <w:noProof/>
      </w:rPr>
      <w:drawing>
        <wp:inline distT="0" distB="0" distL="0" distR="0" wp14:anchorId="615F12A8" wp14:editId="175B931F">
          <wp:extent cx="1621155" cy="128337"/>
          <wp:effectExtent l="0" t="0" r="0" b="5080"/>
          <wp:docPr id="5313947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49001" name="Picture 1832049001"/>
                  <pic:cNvPicPr/>
                </pic:nvPicPr>
                <pic:blipFill rotWithShape="1">
                  <a:blip r:embed="rId1">
                    <a:extLst>
                      <a:ext uri="{28A0092B-C50C-407E-A947-70E740481C1C}">
                        <a14:useLocalDpi xmlns:a14="http://schemas.microsoft.com/office/drawing/2010/main" val="0"/>
                      </a:ext>
                    </a:extLst>
                  </a:blip>
                  <a:srcRect t="-2" b="-40385"/>
                  <a:stretch>
                    <a:fillRect/>
                  </a:stretch>
                </pic:blipFill>
                <pic:spPr bwMode="auto">
                  <a:xfrm>
                    <a:off x="0" y="0"/>
                    <a:ext cx="1621539" cy="128367"/>
                  </a:xfrm>
                  <a:prstGeom prst="rect">
                    <a:avLst/>
                  </a:prstGeom>
                  <a:ln>
                    <a:noFill/>
                  </a:ln>
                  <a:extLst>
                    <a:ext uri="{53640926-AAD7-44D8-BBD7-CCE9431645EC}">
                      <a14:shadowObscured xmlns:a14="http://schemas.microsoft.com/office/drawing/2010/main"/>
                    </a:ext>
                  </a:extLst>
                </pic:spPr>
              </pic:pic>
            </a:graphicData>
          </a:graphic>
        </wp:inline>
      </w:drawing>
    </w:r>
    <w:r w:rsidR="00DC7304">
      <w:tab/>
    </w:r>
    <w:r>
      <w:rPr>
        <w:noProof/>
      </w:rPr>
      <w:drawing>
        <wp:inline distT="0" distB="0" distL="0" distR="0" wp14:anchorId="2F27C8CE" wp14:editId="244F57B0">
          <wp:extent cx="2011680" cy="156998"/>
          <wp:effectExtent l="0" t="0" r="0" b="0"/>
          <wp:docPr id="11519997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8154" name="Picture 166218154"/>
                  <pic:cNvPicPr/>
                </pic:nvPicPr>
                <pic:blipFill rotWithShape="1">
                  <a:blip r:embed="rId2">
                    <a:extLst>
                      <a:ext uri="{28A0092B-C50C-407E-A947-70E740481C1C}">
                        <a14:useLocalDpi xmlns:a14="http://schemas.microsoft.com/office/drawing/2010/main" val="0"/>
                      </a:ext>
                    </a:extLst>
                  </a:blip>
                  <a:srcRect t="1" b="-20880"/>
                  <a:stretch>
                    <a:fillRect/>
                  </a:stretch>
                </pic:blipFill>
                <pic:spPr bwMode="auto">
                  <a:xfrm>
                    <a:off x="0" y="0"/>
                    <a:ext cx="2011680" cy="156998"/>
                  </a:xfrm>
                  <a:prstGeom prst="rect">
                    <a:avLst/>
                  </a:prstGeom>
                  <a:ln>
                    <a:noFill/>
                  </a:ln>
                  <a:extLst>
                    <a:ext uri="{53640926-AAD7-44D8-BBD7-CCE9431645EC}">
                      <a14:shadowObscured xmlns:a14="http://schemas.microsoft.com/office/drawing/2010/main"/>
                    </a:ext>
                  </a:extLst>
                </pic:spPr>
              </pic:pic>
            </a:graphicData>
          </a:graphic>
        </wp:inline>
      </w:drawing>
    </w:r>
  </w:p>
  <w:p w:rsidRPr="00472EFE" w:rsidR="0014143B" w:rsidRDefault="0014143B" w14:paraId="0DC99927" w14:textId="77777777">
    <w:pPr>
      <w:spacing w:after="0" w:line="40" w:lineRule="exact"/>
      <w:rPr>
        <w:sz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0462E" w:rsidR="0014143B" w:rsidP="00B064BA" w:rsidRDefault="0014143B" w14:paraId="2DC6C6D4" w14:textId="77777777">
    <w:pPr>
      <w:pStyle w:val="Bodycopy"/>
    </w:pPr>
    <w:r w:rsidRPr="005172EC">
      <w:rPr>
        <w:noProof/>
      </w:rPr>
      <w:drawing>
        <wp:anchor distT="0" distB="0" distL="114300" distR="114300" simplePos="0" relativeHeight="251658240" behindDoc="1" locked="1" layoutInCell="1" allowOverlap="0" wp14:anchorId="4E12AEA6" wp14:editId="3DC2E2A8">
          <wp:simplePos x="0" y="0"/>
          <wp:positionH relativeFrom="page">
            <wp:align>center</wp:align>
          </wp:positionH>
          <wp:positionV relativeFrom="page">
            <wp:align>bottom</wp:align>
          </wp:positionV>
          <wp:extent cx="7804800" cy="878400"/>
          <wp:effectExtent l="0" t="0" r="5715" b="0"/>
          <wp:wrapNone/>
          <wp:docPr id="1439364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92741" name="Picture 290692741"/>
                  <pic:cNvPicPr/>
                </pic:nvPicPr>
                <pic:blipFill rotWithShape="1">
                  <a:blip r:embed="rId1" cstate="print">
                    <a:extLst>
                      <a:ext uri="{28A0092B-C50C-407E-A947-70E740481C1C}">
                        <a14:useLocalDpi xmlns:a14="http://schemas.microsoft.com/office/drawing/2010/main"/>
                      </a:ext>
                    </a:extLst>
                  </a:blip>
                  <a:srcRect t="-27587"/>
                  <a:stretch>
                    <a:fillRect/>
                  </a:stretch>
                </pic:blipFill>
                <pic:spPr bwMode="auto">
                  <a:xfrm>
                    <a:off x="0" y="0"/>
                    <a:ext cx="7804800" cy="878400"/>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3739" w:rsidR="00FC73FA" w:rsidP="00D570F6" w:rsidRDefault="00FC73FA" w14:paraId="00ACD20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2F0922" w:rsidR="00053B02" w:rsidP="002F0922" w:rsidRDefault="00053B02" w14:paraId="06EA25AA" w14:textId="77777777">
      <w:pPr>
        <w:rPr>
          <w:color w:val="262626" w:themeColor="text1" w:themeTint="D9"/>
          <w:sz w:val="19"/>
        </w:rPr>
      </w:pPr>
      <w:bookmarkStart w:name="_Hlk204777734" w:id="0"/>
      <w:r w:rsidRPr="002F0922">
        <w:rPr>
          <w:color w:val="262626" w:themeColor="text1" w:themeTint="D9"/>
          <w:sz w:val="19"/>
        </w:rPr>
        <w:t>________________________</w:t>
      </w:r>
      <w:bookmarkEnd w:id="0"/>
    </w:p>
  </w:footnote>
  <w:footnote w:type="continuationSeparator" w:id="0">
    <w:p w:rsidRPr="002F0922" w:rsidR="00053B02" w:rsidP="002F0922" w:rsidRDefault="00053B02" w14:paraId="0ABB7F19" w14:textId="77777777">
      <w:pPr>
        <w:rPr>
          <w:color w:val="262626" w:themeColor="text1" w:themeTint="D9"/>
        </w:rPr>
      </w:pPr>
      <w:r w:rsidRPr="002F0922">
        <w:rPr>
          <w:color w:val="262626" w:themeColor="text1" w:themeTint="D9"/>
        </w:rPr>
        <w:continuationSeparator/>
      </w:r>
    </w:p>
  </w:footnote>
  <w:footnote w:id="1">
    <w:p w:rsidRPr="00AB2D5C" w:rsidR="00AB2D5C" w:rsidRDefault="00AB2D5C" w14:paraId="1A41C843" w14:textId="78C6AA56">
      <w:pPr>
        <w:pStyle w:val="FootnoteText"/>
        <w:rPr>
          <w:lang w:val="en-AU"/>
        </w:rPr>
      </w:pPr>
      <w:r>
        <w:rPr>
          <w:rStyle w:val="FootnoteReference"/>
        </w:rPr>
        <w:footnoteRef/>
      </w:r>
      <w:r>
        <w:t xml:space="preserve"> </w:t>
      </w:r>
      <w:r w:rsidRPr="00AB2D5C">
        <w:t>Asset class breakdown is based on the model and may vary slightly depending on the Platform.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p w:rsidR="0014143B" w:rsidP="004B717F" w:rsidRDefault="00192792" w14:paraId="01C22B9E" w14:textId="77777777">
    <w:pPr>
      <w:pStyle w:val="Header"/>
    </w:pPr>
    <w:r>
      <w:rPr>
        <w:noProof/>
      </w:rPr>
      <w:drawing>
        <wp:anchor distT="0" distB="0" distL="114300" distR="114300" simplePos="0" relativeHeight="251658241" behindDoc="0" locked="1" layoutInCell="1" allowOverlap="0" wp14:anchorId="12E3AE0B" wp14:editId="43988AD4">
          <wp:simplePos x="0" y="0"/>
          <wp:positionH relativeFrom="column">
            <wp:posOffset>4206240</wp:posOffset>
          </wp:positionH>
          <wp:positionV relativeFrom="page">
            <wp:posOffset>709930</wp:posOffset>
          </wp:positionV>
          <wp:extent cx="1892300" cy="493395"/>
          <wp:effectExtent l="0" t="0" r="0" b="1905"/>
          <wp:wrapNone/>
          <wp:docPr id="68099985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18638" name="Graphic 230118638"/>
                  <pic:cNvPicPr/>
                </pic:nvPicPr>
                <pic:blipFill rotWithShape="1">
                  <a:blip r:embed="rId1">
                    <a:extLst>
                      <a:ext uri="{96DAC541-7B7A-43D3-8B79-37D633B846F1}">
                        <asvg:svgBlip xmlns:asvg="http://schemas.microsoft.com/office/drawing/2016/SVG/main" r:embed="rId2"/>
                      </a:ext>
                    </a:extLst>
                  </a:blip>
                  <a:srcRect l="1" t="-5654" r="-1555" b="-7214"/>
                  <a:stretch>
                    <a:fillRect/>
                  </a:stretch>
                </pic:blipFill>
                <pic:spPr bwMode="auto">
                  <a:xfrm>
                    <a:off x="0" y="0"/>
                    <a:ext cx="1892300" cy="493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E91"/>
    <w:multiLevelType w:val="multilevel"/>
    <w:tmpl w:val="49409CEA"/>
    <w:numStyleLink w:val="Alphanumericlist"/>
  </w:abstractNum>
  <w:abstractNum w:abstractNumId="1" w15:restartNumberingAfterBreak="0">
    <w:nsid w:val="12C94FA5"/>
    <w:multiLevelType w:val="multilevel"/>
    <w:tmpl w:val="97E6EA58"/>
    <w:styleLink w:val="Decimaloutline"/>
    <w:lvl w:ilvl="0">
      <w:start w:val="1"/>
      <w:numFmt w:val="decimal"/>
      <w:lvlText w:val="%1."/>
      <w:lvlJc w:val="left"/>
      <w:pPr>
        <w:ind w:left="360" w:hanging="360"/>
      </w:pPr>
      <w:rPr>
        <w:rFonts w:hint="default"/>
        <w:b w:val="0"/>
        <w:color w:val="000060" w:themeColor="accent1"/>
      </w:rPr>
    </w:lvl>
    <w:lvl w:ilvl="1">
      <w:start w:val="1"/>
      <w:numFmt w:val="decimal"/>
      <w:lvlText w:val="%1.%2."/>
      <w:lvlJc w:val="left"/>
      <w:pPr>
        <w:ind w:left="792" w:hanging="432"/>
      </w:pPr>
      <w:rPr>
        <w:rFonts w:hint="default"/>
        <w:color w:val="000060" w:themeColor="accent1"/>
      </w:rPr>
    </w:lvl>
    <w:lvl w:ilvl="2">
      <w:start w:val="1"/>
      <w:numFmt w:val="decimal"/>
      <w:lvlText w:val="%1.%2.%3."/>
      <w:lvlJc w:val="left"/>
      <w:pPr>
        <w:ind w:left="1368" w:hanging="576"/>
      </w:pPr>
      <w:rPr>
        <w:rFonts w:hint="default"/>
        <w:color w:val="000060" w:themeColor="accen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250A1B"/>
    <w:multiLevelType w:val="multilevel"/>
    <w:tmpl w:val="79760D02"/>
    <w:styleLink w:val="Bulletsymbols"/>
    <w:lvl w:ilvl="0">
      <w:start w:val="1"/>
      <w:numFmt w:val="bullet"/>
      <w:lvlText w:val="o"/>
      <w:lvlJc w:val="left"/>
      <w:pPr>
        <w:ind w:left="360" w:hanging="360"/>
      </w:pPr>
      <w:rPr>
        <w:rFonts w:hint="default" w:ascii="Courier New" w:hAnsi="Courier New"/>
        <w:color w:val="E4761B" w:themeColor="accent4"/>
        <w:position w:val="2"/>
        <w:sz w:val="22"/>
      </w:rPr>
    </w:lvl>
    <w:lvl w:ilvl="1">
      <w:start w:val="1"/>
      <w:numFmt w:val="bullet"/>
      <w:lvlText w:val="o"/>
      <w:lvlJc w:val="left"/>
      <w:pPr>
        <w:ind w:left="720" w:hanging="360"/>
      </w:pPr>
      <w:rPr>
        <w:rFonts w:hint="default" w:ascii="Courier New" w:hAnsi="Courier New"/>
        <w:color w:val="E4761B" w:themeColor="accent4"/>
        <w:position w:val="2"/>
        <w:sz w:val="16"/>
      </w:rPr>
    </w:lvl>
    <w:lvl w:ilvl="2">
      <w:start w:val="1"/>
      <w:numFmt w:val="bullet"/>
      <w:lvlText w:val=""/>
      <w:lvlJc w:val="left"/>
      <w:pPr>
        <w:ind w:left="1080" w:hanging="360"/>
      </w:pPr>
      <w:rPr>
        <w:rFonts w:hint="default" w:ascii="Symbol" w:hAnsi="Symbol"/>
        <w:color w:val="E4761B" w:themeColor="accent4"/>
        <w:position w:val="2"/>
        <w:sz w:val="12"/>
      </w:rPr>
    </w:lvl>
    <w:lvl w:ilvl="3">
      <w:start w:val="1"/>
      <w:numFmt w:val="bullet"/>
      <w:lvlText w:val=""/>
      <w:lvlJc w:val="left"/>
      <w:pPr>
        <w:ind w:left="1440" w:hanging="360"/>
      </w:pPr>
      <w:rPr>
        <w:rFonts w:hint="default" w:ascii="Symbol" w:hAnsi="Symbol"/>
        <w:color w:val="E4761B" w:themeColor="accent4"/>
        <w:sz w:val="12"/>
      </w:rPr>
    </w:lvl>
    <w:lvl w:ilvl="4">
      <w:start w:val="1"/>
      <w:numFmt w:val="bullet"/>
      <w:lvlText w:val=""/>
      <w:lvlJc w:val="left"/>
      <w:pPr>
        <w:ind w:left="1800" w:hanging="360"/>
      </w:pPr>
      <w:rPr>
        <w:rFonts w:hint="default" w:ascii="Wingdings" w:hAnsi="Wingdings"/>
        <w:color w:val="000060" w:themeColor="accent1"/>
      </w:rPr>
    </w:lvl>
    <w:lvl w:ilvl="5">
      <w:start w:val="1"/>
      <w:numFmt w:val="bullet"/>
      <w:lvlText w:val=""/>
      <w:lvlJc w:val="left"/>
      <w:pPr>
        <w:ind w:left="2160" w:hanging="360"/>
      </w:pPr>
      <w:rPr>
        <w:rFonts w:hint="default" w:ascii="Wingdings" w:hAnsi="Wingdings"/>
        <w:color w:val="000060" w:themeColor="accent1"/>
      </w:rPr>
    </w:lvl>
    <w:lvl w:ilvl="6">
      <w:start w:val="1"/>
      <w:numFmt w:val="bullet"/>
      <w:lvlText w:val=""/>
      <w:lvlJc w:val="left"/>
      <w:pPr>
        <w:ind w:left="2520" w:hanging="360"/>
      </w:pPr>
      <w:rPr>
        <w:rFonts w:hint="default" w:ascii="Wingdings" w:hAnsi="Wingdings"/>
        <w:color w:val="000060" w:themeColor="accent1"/>
      </w:rPr>
    </w:lvl>
    <w:lvl w:ilvl="7">
      <w:start w:val="1"/>
      <w:numFmt w:val="bullet"/>
      <w:lvlText w:val=""/>
      <w:lvlJc w:val="left"/>
      <w:pPr>
        <w:ind w:left="2880" w:hanging="360"/>
      </w:pPr>
      <w:rPr>
        <w:rFonts w:hint="default" w:ascii="Wingdings" w:hAnsi="Wingdings"/>
        <w:color w:val="000060" w:themeColor="accent1"/>
      </w:rPr>
    </w:lvl>
    <w:lvl w:ilvl="8">
      <w:start w:val="1"/>
      <w:numFmt w:val="bullet"/>
      <w:lvlText w:val=""/>
      <w:lvlJc w:val="left"/>
      <w:pPr>
        <w:ind w:left="3240" w:hanging="360"/>
      </w:pPr>
      <w:rPr>
        <w:rFonts w:hint="default" w:ascii="Wingdings" w:hAnsi="Wingdings"/>
        <w:color w:val="000060" w:themeColor="accent1"/>
      </w:rPr>
    </w:lvl>
  </w:abstractNum>
  <w:abstractNum w:abstractNumId="3" w15:restartNumberingAfterBreak="0">
    <w:nsid w:val="182732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A24531"/>
    <w:multiLevelType w:val="multilevel"/>
    <w:tmpl w:val="49409CEA"/>
    <w:numStyleLink w:val="Alphanumericlist"/>
  </w:abstractNum>
  <w:abstractNum w:abstractNumId="5" w15:restartNumberingAfterBreak="0">
    <w:nsid w:val="195C02A0"/>
    <w:multiLevelType w:val="multilevel"/>
    <w:tmpl w:val="79760D02"/>
    <w:numStyleLink w:val="Bulletsymbols"/>
  </w:abstractNum>
  <w:abstractNum w:abstractNumId="6" w15:restartNumberingAfterBreak="0">
    <w:nsid w:val="19771F74"/>
    <w:multiLevelType w:val="multilevel"/>
    <w:tmpl w:val="49409CEA"/>
    <w:numStyleLink w:val="Alphanumericlist"/>
  </w:abstractNum>
  <w:abstractNum w:abstractNumId="7" w15:restartNumberingAfterBreak="0">
    <w:nsid w:val="1FA52494"/>
    <w:multiLevelType w:val="multilevel"/>
    <w:tmpl w:val="79760D02"/>
    <w:numStyleLink w:val="Bulletsymbols"/>
  </w:abstractNum>
  <w:abstractNum w:abstractNumId="8" w15:restartNumberingAfterBreak="0">
    <w:nsid w:val="256A1C73"/>
    <w:multiLevelType w:val="multilevel"/>
    <w:tmpl w:val="49409CEA"/>
    <w:lvl w:ilvl="0">
      <w:start w:val="1"/>
      <w:numFmt w:val="decimal"/>
      <w:lvlText w:val="%1."/>
      <w:lvlJc w:val="left"/>
      <w:pPr>
        <w:ind w:left="360" w:hanging="360"/>
      </w:pPr>
      <w:rPr>
        <w:rFonts w:hint="default"/>
        <w:b w:val="0"/>
        <w:i w:val="0"/>
        <w:color w:val="000060" w:themeColor="accent1"/>
      </w:rPr>
    </w:lvl>
    <w:lvl w:ilvl="1">
      <w:start w:val="1"/>
      <w:numFmt w:val="lowerLetter"/>
      <w:lvlText w:val="%2."/>
      <w:lvlJc w:val="left"/>
      <w:pPr>
        <w:ind w:left="720" w:hanging="360"/>
      </w:pPr>
      <w:rPr>
        <w:rFonts w:hint="default"/>
        <w:b w:val="0"/>
        <w:color w:val="000060" w:themeColor="accent1"/>
      </w:rPr>
    </w:lvl>
    <w:lvl w:ilvl="2">
      <w:start w:val="1"/>
      <w:numFmt w:val="lowerRoman"/>
      <w:lvlText w:val="%3."/>
      <w:lvlJc w:val="left"/>
      <w:pPr>
        <w:ind w:left="1080" w:hanging="360"/>
      </w:pPr>
      <w:rPr>
        <w:rFonts w:hint="default"/>
        <w:b w:val="0"/>
        <w:color w:val="000060"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731C3"/>
    <w:multiLevelType w:val="multilevel"/>
    <w:tmpl w:val="97E6EA58"/>
    <w:numStyleLink w:val="Decimaloutline"/>
  </w:abstractNum>
  <w:abstractNum w:abstractNumId="10" w15:restartNumberingAfterBreak="0">
    <w:nsid w:val="2B076467"/>
    <w:multiLevelType w:val="hybridMultilevel"/>
    <w:tmpl w:val="1C52B728"/>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25637D3"/>
    <w:multiLevelType w:val="multilevel"/>
    <w:tmpl w:val="79760D02"/>
    <w:numStyleLink w:val="Bulletsymbols"/>
  </w:abstractNum>
  <w:abstractNum w:abstractNumId="12" w15:restartNumberingAfterBreak="0">
    <w:nsid w:val="33DE08FA"/>
    <w:multiLevelType w:val="multilevel"/>
    <w:tmpl w:val="97E6EA58"/>
    <w:numStyleLink w:val="Decimaloutline"/>
  </w:abstractNum>
  <w:abstractNum w:abstractNumId="13" w15:restartNumberingAfterBreak="0">
    <w:nsid w:val="33FD3525"/>
    <w:multiLevelType w:val="multilevel"/>
    <w:tmpl w:val="97E6EA58"/>
    <w:numStyleLink w:val="Decimaloutline"/>
  </w:abstractNum>
  <w:abstractNum w:abstractNumId="14" w15:restartNumberingAfterBreak="0">
    <w:nsid w:val="43F13561"/>
    <w:multiLevelType w:val="multilevel"/>
    <w:tmpl w:val="79760D02"/>
    <w:numStyleLink w:val="Bulletsymbols"/>
  </w:abstractNum>
  <w:abstractNum w:abstractNumId="15" w15:restartNumberingAfterBreak="0">
    <w:nsid w:val="480E0094"/>
    <w:multiLevelType w:val="multilevel"/>
    <w:tmpl w:val="49409CEA"/>
    <w:styleLink w:val="Alphanumericlist"/>
    <w:lvl w:ilvl="0">
      <w:start w:val="1"/>
      <w:numFmt w:val="decimal"/>
      <w:lvlText w:val="%1."/>
      <w:lvlJc w:val="left"/>
      <w:pPr>
        <w:ind w:left="360" w:hanging="360"/>
      </w:pPr>
      <w:rPr>
        <w:rFonts w:hint="default"/>
        <w:b w:val="0"/>
        <w:i w:val="0"/>
        <w:color w:val="000060" w:themeColor="accent1"/>
      </w:rPr>
    </w:lvl>
    <w:lvl w:ilvl="1">
      <w:start w:val="1"/>
      <w:numFmt w:val="lowerLetter"/>
      <w:lvlText w:val="%2."/>
      <w:lvlJc w:val="left"/>
      <w:pPr>
        <w:ind w:left="720" w:hanging="360"/>
      </w:pPr>
      <w:rPr>
        <w:rFonts w:hint="default"/>
        <w:b w:val="0"/>
        <w:color w:val="000060" w:themeColor="accent1"/>
      </w:rPr>
    </w:lvl>
    <w:lvl w:ilvl="2">
      <w:start w:val="1"/>
      <w:numFmt w:val="lowerRoman"/>
      <w:lvlText w:val="%3."/>
      <w:lvlJc w:val="left"/>
      <w:pPr>
        <w:ind w:left="1080" w:hanging="360"/>
      </w:pPr>
      <w:rPr>
        <w:rFonts w:hint="default"/>
        <w:b w:val="0"/>
        <w:color w:val="000060"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F87694"/>
    <w:multiLevelType w:val="multilevel"/>
    <w:tmpl w:val="0409001F"/>
    <w:lvl w:ilvl="0">
      <w:start w:val="1"/>
      <w:numFmt w:val="decimal"/>
      <w:lvlText w:val="%1."/>
      <w:lvlJc w:val="left"/>
      <w:pPr>
        <w:ind w:left="360" w:hanging="360"/>
      </w:pPr>
      <w:rPr>
        <w:rFonts w:hint="default"/>
        <w:b w:val="0"/>
        <w:color w:val="5F6061" w:themeColor="text2"/>
      </w:rPr>
    </w:lvl>
    <w:lvl w:ilvl="1">
      <w:start w:val="1"/>
      <w:numFmt w:val="decimal"/>
      <w:lvlText w:val="%1.%2."/>
      <w:lvlJc w:val="left"/>
      <w:pPr>
        <w:ind w:left="792" w:hanging="432"/>
      </w:pPr>
      <w:rPr>
        <w:rFonts w:hint="default"/>
        <w:color w:val="5F6061" w:themeColor="text2"/>
      </w:rPr>
    </w:lvl>
    <w:lvl w:ilvl="2">
      <w:start w:val="1"/>
      <w:numFmt w:val="decimal"/>
      <w:lvlText w:val="%1.%2.%3."/>
      <w:lvlJc w:val="left"/>
      <w:pPr>
        <w:ind w:left="1224" w:hanging="504"/>
      </w:pPr>
      <w:rPr>
        <w:rFonts w:hint="default"/>
        <w:color w:val="5F6061" w:themeColor="text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983EA9"/>
    <w:multiLevelType w:val="singleLevel"/>
    <w:tmpl w:val="0409000F"/>
    <w:lvl w:ilvl="0">
      <w:start w:val="1"/>
      <w:numFmt w:val="decimal"/>
      <w:lvlText w:val="%1."/>
      <w:lvlJc w:val="left"/>
      <w:pPr>
        <w:ind w:left="360" w:hanging="360"/>
      </w:pPr>
      <w:rPr>
        <w:rFonts w:hint="default"/>
        <w:color w:val="000060" w:themeColor="accent1"/>
        <w:position w:val="2"/>
        <w:sz w:val="22"/>
      </w:rPr>
    </w:lvl>
  </w:abstractNum>
  <w:abstractNum w:abstractNumId="18" w15:restartNumberingAfterBreak="0">
    <w:nsid w:val="60C07B2B"/>
    <w:multiLevelType w:val="multilevel"/>
    <w:tmpl w:val="97E6EA58"/>
    <w:numStyleLink w:val="Decimaloutline"/>
  </w:abstractNum>
  <w:abstractNum w:abstractNumId="19" w15:restartNumberingAfterBreak="0">
    <w:nsid w:val="68FE2674"/>
    <w:multiLevelType w:val="multilevel"/>
    <w:tmpl w:val="79760D02"/>
    <w:numStyleLink w:val="Bulletsymbols"/>
  </w:abstractNum>
  <w:abstractNum w:abstractNumId="20" w15:restartNumberingAfterBreak="0">
    <w:nsid w:val="6AD121A0"/>
    <w:multiLevelType w:val="hybridMultilevel"/>
    <w:tmpl w:val="71A89F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6CDD3A4D"/>
    <w:multiLevelType w:val="multilevel"/>
    <w:tmpl w:val="79760D02"/>
    <w:numStyleLink w:val="Bulletsymbols"/>
  </w:abstractNum>
  <w:abstractNum w:abstractNumId="22" w15:restartNumberingAfterBreak="0">
    <w:nsid w:val="7F524C7F"/>
    <w:multiLevelType w:val="multilevel"/>
    <w:tmpl w:val="97E6EA58"/>
    <w:numStyleLink w:val="Decimaloutline"/>
  </w:abstractNum>
  <w:num w:numId="1" w16cid:durableId="1230270766">
    <w:abstractNumId w:val="15"/>
  </w:num>
  <w:num w:numId="2" w16cid:durableId="733087934">
    <w:abstractNumId w:val="2"/>
  </w:num>
  <w:num w:numId="3" w16cid:durableId="625358877">
    <w:abstractNumId w:val="1"/>
  </w:num>
  <w:num w:numId="4" w16cid:durableId="877162537">
    <w:abstractNumId w:val="14"/>
  </w:num>
  <w:num w:numId="5" w16cid:durableId="1846826682">
    <w:abstractNumId w:val="12"/>
  </w:num>
  <w:num w:numId="6" w16cid:durableId="1728262530">
    <w:abstractNumId w:val="0"/>
  </w:num>
  <w:num w:numId="7" w16cid:durableId="78451475">
    <w:abstractNumId w:val="18"/>
  </w:num>
  <w:num w:numId="8" w16cid:durableId="57171525">
    <w:abstractNumId w:val="17"/>
  </w:num>
  <w:num w:numId="9" w16cid:durableId="1449205188">
    <w:abstractNumId w:val="5"/>
  </w:num>
  <w:num w:numId="10" w16cid:durableId="2136561360">
    <w:abstractNumId w:val="11"/>
  </w:num>
  <w:num w:numId="11" w16cid:durableId="600115043">
    <w:abstractNumId w:val="4"/>
  </w:num>
  <w:num w:numId="12" w16cid:durableId="1359887572">
    <w:abstractNumId w:val="16"/>
  </w:num>
  <w:num w:numId="13" w16cid:durableId="1106925550">
    <w:abstractNumId w:val="22"/>
  </w:num>
  <w:num w:numId="14" w16cid:durableId="4402877">
    <w:abstractNumId w:val="13"/>
  </w:num>
  <w:num w:numId="15" w16cid:durableId="1013922112">
    <w:abstractNumId w:val="6"/>
  </w:num>
  <w:num w:numId="16" w16cid:durableId="1236937333">
    <w:abstractNumId w:val="3"/>
  </w:num>
  <w:num w:numId="17" w16cid:durableId="2020311012">
    <w:abstractNumId w:val="8"/>
  </w:num>
  <w:num w:numId="18" w16cid:durableId="1474174242">
    <w:abstractNumId w:val="19"/>
  </w:num>
  <w:num w:numId="19" w16cid:durableId="1760638176">
    <w:abstractNumId w:val="9"/>
  </w:num>
  <w:num w:numId="20" w16cid:durableId="2030449297">
    <w:abstractNumId w:val="7"/>
  </w:num>
  <w:num w:numId="21" w16cid:durableId="2130200256">
    <w:abstractNumId w:val="21"/>
  </w:num>
  <w:num w:numId="22" w16cid:durableId="1559436503">
    <w:abstractNumId w:val="10"/>
  </w:num>
  <w:num w:numId="23" w16cid:durableId="7989632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9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1"/>
  <w:trackRevisions w:val="false"/>
  <w:defaultTabStop w:val="720"/>
  <w:characterSpacingControl w:val="doNotCompress"/>
  <w:hdrShapeDefaults>
    <o:shapedefaults v:ext="edit" spidmax="2050"/>
  </w:hdrShapeDefaults>
  <w:footnotePr>
    <w:footnote w:id="-1"/>
    <w:footnote w:id="0"/>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AF"/>
    <w:rsid w:val="00004342"/>
    <w:rsid w:val="0000786F"/>
    <w:rsid w:val="0001596B"/>
    <w:rsid w:val="00015B4A"/>
    <w:rsid w:val="00015D40"/>
    <w:rsid w:val="00020972"/>
    <w:rsid w:val="000331A2"/>
    <w:rsid w:val="0004258A"/>
    <w:rsid w:val="000467EC"/>
    <w:rsid w:val="00051193"/>
    <w:rsid w:val="00053B02"/>
    <w:rsid w:val="00056B45"/>
    <w:rsid w:val="00057212"/>
    <w:rsid w:val="00065B0B"/>
    <w:rsid w:val="000948F6"/>
    <w:rsid w:val="000A2A18"/>
    <w:rsid w:val="000A3B64"/>
    <w:rsid w:val="000B1B45"/>
    <w:rsid w:val="000B56AC"/>
    <w:rsid w:val="000E2E8A"/>
    <w:rsid w:val="000E4661"/>
    <w:rsid w:val="001055B1"/>
    <w:rsid w:val="00107531"/>
    <w:rsid w:val="00120585"/>
    <w:rsid w:val="00122111"/>
    <w:rsid w:val="00134065"/>
    <w:rsid w:val="00134A0C"/>
    <w:rsid w:val="00140B8F"/>
    <w:rsid w:val="0014143B"/>
    <w:rsid w:val="001466B7"/>
    <w:rsid w:val="0015389A"/>
    <w:rsid w:val="00165963"/>
    <w:rsid w:val="001660ED"/>
    <w:rsid w:val="001717FB"/>
    <w:rsid w:val="001723FE"/>
    <w:rsid w:val="00176D98"/>
    <w:rsid w:val="0018775C"/>
    <w:rsid w:val="0019007E"/>
    <w:rsid w:val="00192792"/>
    <w:rsid w:val="00197CE3"/>
    <w:rsid w:val="001B5DE0"/>
    <w:rsid w:val="001B644B"/>
    <w:rsid w:val="001B6ADE"/>
    <w:rsid w:val="001B6B80"/>
    <w:rsid w:val="001C2B5D"/>
    <w:rsid w:val="001C7C25"/>
    <w:rsid w:val="001D129B"/>
    <w:rsid w:val="001D1B3D"/>
    <w:rsid w:val="001E1C77"/>
    <w:rsid w:val="001E3722"/>
    <w:rsid w:val="001E65D2"/>
    <w:rsid w:val="001F5CDA"/>
    <w:rsid w:val="001F6334"/>
    <w:rsid w:val="00200E27"/>
    <w:rsid w:val="00201384"/>
    <w:rsid w:val="00203AC6"/>
    <w:rsid w:val="00205E34"/>
    <w:rsid w:val="00206F3D"/>
    <w:rsid w:val="00214D05"/>
    <w:rsid w:val="00216260"/>
    <w:rsid w:val="00216A96"/>
    <w:rsid w:val="00225CD6"/>
    <w:rsid w:val="00227B4F"/>
    <w:rsid w:val="00232E44"/>
    <w:rsid w:val="00236678"/>
    <w:rsid w:val="00240645"/>
    <w:rsid w:val="002461AB"/>
    <w:rsid w:val="002478B0"/>
    <w:rsid w:val="00247E08"/>
    <w:rsid w:val="00250357"/>
    <w:rsid w:val="00254E0E"/>
    <w:rsid w:val="00264A00"/>
    <w:rsid w:val="002703D9"/>
    <w:rsid w:val="00277E35"/>
    <w:rsid w:val="0028788B"/>
    <w:rsid w:val="00290E83"/>
    <w:rsid w:val="0029373B"/>
    <w:rsid w:val="002B38A2"/>
    <w:rsid w:val="002E3F22"/>
    <w:rsid w:val="002E4219"/>
    <w:rsid w:val="002E5382"/>
    <w:rsid w:val="002F0922"/>
    <w:rsid w:val="002F2B4A"/>
    <w:rsid w:val="00301106"/>
    <w:rsid w:val="00312D1C"/>
    <w:rsid w:val="00323B17"/>
    <w:rsid w:val="00330DED"/>
    <w:rsid w:val="003322FF"/>
    <w:rsid w:val="003350A5"/>
    <w:rsid w:val="00336FC5"/>
    <w:rsid w:val="0034071A"/>
    <w:rsid w:val="00342358"/>
    <w:rsid w:val="003554DB"/>
    <w:rsid w:val="0037175F"/>
    <w:rsid w:val="0037429C"/>
    <w:rsid w:val="00375658"/>
    <w:rsid w:val="00381E91"/>
    <w:rsid w:val="0039299E"/>
    <w:rsid w:val="003A362F"/>
    <w:rsid w:val="003B480A"/>
    <w:rsid w:val="003B7939"/>
    <w:rsid w:val="003C09F3"/>
    <w:rsid w:val="003C3A47"/>
    <w:rsid w:val="003D7650"/>
    <w:rsid w:val="003E1E4B"/>
    <w:rsid w:val="003E436B"/>
    <w:rsid w:val="003E53DC"/>
    <w:rsid w:val="003E5F7B"/>
    <w:rsid w:val="003F1EB7"/>
    <w:rsid w:val="003F2EFE"/>
    <w:rsid w:val="00402E4D"/>
    <w:rsid w:val="00416A19"/>
    <w:rsid w:val="004177B6"/>
    <w:rsid w:val="00424C8C"/>
    <w:rsid w:val="00424D46"/>
    <w:rsid w:val="00431E98"/>
    <w:rsid w:val="0043586B"/>
    <w:rsid w:val="00440F88"/>
    <w:rsid w:val="00452FCE"/>
    <w:rsid w:val="00465076"/>
    <w:rsid w:val="0048050E"/>
    <w:rsid w:val="00496B3D"/>
    <w:rsid w:val="004A06C8"/>
    <w:rsid w:val="004B109E"/>
    <w:rsid w:val="004B1B75"/>
    <w:rsid w:val="004B5AF9"/>
    <w:rsid w:val="004B717F"/>
    <w:rsid w:val="004B7FAF"/>
    <w:rsid w:val="004C00BB"/>
    <w:rsid w:val="004D27FB"/>
    <w:rsid w:val="004E2BC8"/>
    <w:rsid w:val="004E4215"/>
    <w:rsid w:val="004F35AF"/>
    <w:rsid w:val="00503404"/>
    <w:rsid w:val="005112E1"/>
    <w:rsid w:val="0051325D"/>
    <w:rsid w:val="00522C93"/>
    <w:rsid w:val="00523DA1"/>
    <w:rsid w:val="00540268"/>
    <w:rsid w:val="005531A7"/>
    <w:rsid w:val="00573438"/>
    <w:rsid w:val="00582912"/>
    <w:rsid w:val="005A4491"/>
    <w:rsid w:val="005B4787"/>
    <w:rsid w:val="005B523C"/>
    <w:rsid w:val="005B559A"/>
    <w:rsid w:val="005B5C9B"/>
    <w:rsid w:val="005C4C26"/>
    <w:rsid w:val="005D12FE"/>
    <w:rsid w:val="005D5A29"/>
    <w:rsid w:val="005D6168"/>
    <w:rsid w:val="005D7F28"/>
    <w:rsid w:val="005E70B8"/>
    <w:rsid w:val="00600240"/>
    <w:rsid w:val="0060623D"/>
    <w:rsid w:val="00613767"/>
    <w:rsid w:val="00622B57"/>
    <w:rsid w:val="00626E46"/>
    <w:rsid w:val="00631691"/>
    <w:rsid w:val="0063527A"/>
    <w:rsid w:val="00636523"/>
    <w:rsid w:val="0064768C"/>
    <w:rsid w:val="00655F7F"/>
    <w:rsid w:val="00660517"/>
    <w:rsid w:val="0066111F"/>
    <w:rsid w:val="00662DEC"/>
    <w:rsid w:val="00672EC9"/>
    <w:rsid w:val="00676E5F"/>
    <w:rsid w:val="00677342"/>
    <w:rsid w:val="00692CEE"/>
    <w:rsid w:val="00695694"/>
    <w:rsid w:val="0069749E"/>
    <w:rsid w:val="006A285D"/>
    <w:rsid w:val="006B3939"/>
    <w:rsid w:val="006B762B"/>
    <w:rsid w:val="006C54EB"/>
    <w:rsid w:val="006C6B2B"/>
    <w:rsid w:val="006D12BB"/>
    <w:rsid w:val="006D3A89"/>
    <w:rsid w:val="006E076B"/>
    <w:rsid w:val="006E7395"/>
    <w:rsid w:val="006E79B7"/>
    <w:rsid w:val="006F7D11"/>
    <w:rsid w:val="007000E3"/>
    <w:rsid w:val="00700130"/>
    <w:rsid w:val="007030D5"/>
    <w:rsid w:val="0072251B"/>
    <w:rsid w:val="00732954"/>
    <w:rsid w:val="00734200"/>
    <w:rsid w:val="00744717"/>
    <w:rsid w:val="00747117"/>
    <w:rsid w:val="00747DF0"/>
    <w:rsid w:val="00757E6E"/>
    <w:rsid w:val="00765AA4"/>
    <w:rsid w:val="00776779"/>
    <w:rsid w:val="00780F71"/>
    <w:rsid w:val="007A0C00"/>
    <w:rsid w:val="007A1256"/>
    <w:rsid w:val="007A250D"/>
    <w:rsid w:val="007B0C7B"/>
    <w:rsid w:val="007B51F2"/>
    <w:rsid w:val="007C20E6"/>
    <w:rsid w:val="007C3AC6"/>
    <w:rsid w:val="007C3FA7"/>
    <w:rsid w:val="007C6943"/>
    <w:rsid w:val="007C73E4"/>
    <w:rsid w:val="007D1B0A"/>
    <w:rsid w:val="007D5EBD"/>
    <w:rsid w:val="007D70F3"/>
    <w:rsid w:val="007E3F89"/>
    <w:rsid w:val="00801717"/>
    <w:rsid w:val="00806DFA"/>
    <w:rsid w:val="00807CAD"/>
    <w:rsid w:val="0081138E"/>
    <w:rsid w:val="008320D2"/>
    <w:rsid w:val="008363D8"/>
    <w:rsid w:val="00845A76"/>
    <w:rsid w:val="00860253"/>
    <w:rsid w:val="00862EC4"/>
    <w:rsid w:val="00864E8D"/>
    <w:rsid w:val="00866E7D"/>
    <w:rsid w:val="00874FFD"/>
    <w:rsid w:val="008750E8"/>
    <w:rsid w:val="0088254D"/>
    <w:rsid w:val="00882CA6"/>
    <w:rsid w:val="008873A1"/>
    <w:rsid w:val="00891624"/>
    <w:rsid w:val="008A540F"/>
    <w:rsid w:val="008B475A"/>
    <w:rsid w:val="008B5BA1"/>
    <w:rsid w:val="008D0AF5"/>
    <w:rsid w:val="008F793E"/>
    <w:rsid w:val="0090508E"/>
    <w:rsid w:val="00905947"/>
    <w:rsid w:val="00914159"/>
    <w:rsid w:val="00925296"/>
    <w:rsid w:val="00927753"/>
    <w:rsid w:val="00945532"/>
    <w:rsid w:val="00954F2D"/>
    <w:rsid w:val="00961EFA"/>
    <w:rsid w:val="00967518"/>
    <w:rsid w:val="00991445"/>
    <w:rsid w:val="00993A3F"/>
    <w:rsid w:val="009941AC"/>
    <w:rsid w:val="00994A17"/>
    <w:rsid w:val="00996F86"/>
    <w:rsid w:val="009B5E36"/>
    <w:rsid w:val="009C33C3"/>
    <w:rsid w:val="009C5757"/>
    <w:rsid w:val="009D55EE"/>
    <w:rsid w:val="009E7B42"/>
    <w:rsid w:val="009E7D12"/>
    <w:rsid w:val="009F0A45"/>
    <w:rsid w:val="009F0C4C"/>
    <w:rsid w:val="009F2AEF"/>
    <w:rsid w:val="009F774F"/>
    <w:rsid w:val="00A066DF"/>
    <w:rsid w:val="00A07F41"/>
    <w:rsid w:val="00A1345C"/>
    <w:rsid w:val="00A17F38"/>
    <w:rsid w:val="00A2001E"/>
    <w:rsid w:val="00A230ED"/>
    <w:rsid w:val="00A34A48"/>
    <w:rsid w:val="00A40CA2"/>
    <w:rsid w:val="00A4291A"/>
    <w:rsid w:val="00A450D9"/>
    <w:rsid w:val="00A45448"/>
    <w:rsid w:val="00A45ABC"/>
    <w:rsid w:val="00A56F7B"/>
    <w:rsid w:val="00A62EE6"/>
    <w:rsid w:val="00A643F0"/>
    <w:rsid w:val="00A7593A"/>
    <w:rsid w:val="00AA283C"/>
    <w:rsid w:val="00AB1802"/>
    <w:rsid w:val="00AB2D5C"/>
    <w:rsid w:val="00AB37A6"/>
    <w:rsid w:val="00AC3EC9"/>
    <w:rsid w:val="00AC7027"/>
    <w:rsid w:val="00AD490F"/>
    <w:rsid w:val="00AD69E0"/>
    <w:rsid w:val="00AE0ED2"/>
    <w:rsid w:val="00AE430F"/>
    <w:rsid w:val="00AE7809"/>
    <w:rsid w:val="00AF1BEA"/>
    <w:rsid w:val="00AF367B"/>
    <w:rsid w:val="00AF7577"/>
    <w:rsid w:val="00B036E9"/>
    <w:rsid w:val="00B064BA"/>
    <w:rsid w:val="00B0798B"/>
    <w:rsid w:val="00B11DC5"/>
    <w:rsid w:val="00B25CBD"/>
    <w:rsid w:val="00B25EC8"/>
    <w:rsid w:val="00B37ACE"/>
    <w:rsid w:val="00B50060"/>
    <w:rsid w:val="00B52802"/>
    <w:rsid w:val="00B561DA"/>
    <w:rsid w:val="00B5666F"/>
    <w:rsid w:val="00B82CDE"/>
    <w:rsid w:val="00B85400"/>
    <w:rsid w:val="00B85C3F"/>
    <w:rsid w:val="00B8652A"/>
    <w:rsid w:val="00B87C00"/>
    <w:rsid w:val="00B92D11"/>
    <w:rsid w:val="00B94245"/>
    <w:rsid w:val="00BA2832"/>
    <w:rsid w:val="00BA30C2"/>
    <w:rsid w:val="00BA602F"/>
    <w:rsid w:val="00BD3F8B"/>
    <w:rsid w:val="00BD4F2E"/>
    <w:rsid w:val="00BF0355"/>
    <w:rsid w:val="00BF45A7"/>
    <w:rsid w:val="00C07983"/>
    <w:rsid w:val="00C147FF"/>
    <w:rsid w:val="00C2056C"/>
    <w:rsid w:val="00C37CEA"/>
    <w:rsid w:val="00C65E11"/>
    <w:rsid w:val="00C75806"/>
    <w:rsid w:val="00C7626E"/>
    <w:rsid w:val="00C765C4"/>
    <w:rsid w:val="00C767E4"/>
    <w:rsid w:val="00C84B73"/>
    <w:rsid w:val="00C92143"/>
    <w:rsid w:val="00C9553A"/>
    <w:rsid w:val="00CA0EC5"/>
    <w:rsid w:val="00CA28FE"/>
    <w:rsid w:val="00CA2AC2"/>
    <w:rsid w:val="00CA4068"/>
    <w:rsid w:val="00CC2756"/>
    <w:rsid w:val="00CC57AF"/>
    <w:rsid w:val="00CC6E85"/>
    <w:rsid w:val="00CD0B76"/>
    <w:rsid w:val="00CD382D"/>
    <w:rsid w:val="00CE69A4"/>
    <w:rsid w:val="00CF2CD1"/>
    <w:rsid w:val="00CF58D6"/>
    <w:rsid w:val="00D15194"/>
    <w:rsid w:val="00D27585"/>
    <w:rsid w:val="00D2781A"/>
    <w:rsid w:val="00D31DAC"/>
    <w:rsid w:val="00D46824"/>
    <w:rsid w:val="00D50D1C"/>
    <w:rsid w:val="00D5346E"/>
    <w:rsid w:val="00D56D23"/>
    <w:rsid w:val="00D570F6"/>
    <w:rsid w:val="00D62B33"/>
    <w:rsid w:val="00D70FFE"/>
    <w:rsid w:val="00D8056D"/>
    <w:rsid w:val="00D833F9"/>
    <w:rsid w:val="00D95378"/>
    <w:rsid w:val="00D96D39"/>
    <w:rsid w:val="00DA3A65"/>
    <w:rsid w:val="00DB2540"/>
    <w:rsid w:val="00DB30E2"/>
    <w:rsid w:val="00DB3657"/>
    <w:rsid w:val="00DB642D"/>
    <w:rsid w:val="00DC7304"/>
    <w:rsid w:val="00DC7F70"/>
    <w:rsid w:val="00DD477D"/>
    <w:rsid w:val="00DE3209"/>
    <w:rsid w:val="00DE7BC2"/>
    <w:rsid w:val="00DF25FE"/>
    <w:rsid w:val="00DF745F"/>
    <w:rsid w:val="00E1096F"/>
    <w:rsid w:val="00E11491"/>
    <w:rsid w:val="00E17388"/>
    <w:rsid w:val="00E259D3"/>
    <w:rsid w:val="00E26B92"/>
    <w:rsid w:val="00E358E5"/>
    <w:rsid w:val="00E4278E"/>
    <w:rsid w:val="00E60AEB"/>
    <w:rsid w:val="00E632E5"/>
    <w:rsid w:val="00E70B87"/>
    <w:rsid w:val="00E71389"/>
    <w:rsid w:val="00E7362B"/>
    <w:rsid w:val="00E73835"/>
    <w:rsid w:val="00E76456"/>
    <w:rsid w:val="00E80A7C"/>
    <w:rsid w:val="00E84113"/>
    <w:rsid w:val="00E85F1B"/>
    <w:rsid w:val="00E87998"/>
    <w:rsid w:val="00E904A3"/>
    <w:rsid w:val="00E93DCD"/>
    <w:rsid w:val="00EA10DD"/>
    <w:rsid w:val="00EB33EF"/>
    <w:rsid w:val="00EB3680"/>
    <w:rsid w:val="00ED3FBF"/>
    <w:rsid w:val="00EF12EA"/>
    <w:rsid w:val="00EF5BDE"/>
    <w:rsid w:val="00EF66C1"/>
    <w:rsid w:val="00EF6A0D"/>
    <w:rsid w:val="00F017C5"/>
    <w:rsid w:val="00F12825"/>
    <w:rsid w:val="00F13391"/>
    <w:rsid w:val="00F21589"/>
    <w:rsid w:val="00F22862"/>
    <w:rsid w:val="00F25413"/>
    <w:rsid w:val="00F2632F"/>
    <w:rsid w:val="00F2682B"/>
    <w:rsid w:val="00F30411"/>
    <w:rsid w:val="00F3285D"/>
    <w:rsid w:val="00F44A23"/>
    <w:rsid w:val="00F50AA7"/>
    <w:rsid w:val="00F514CC"/>
    <w:rsid w:val="00F56846"/>
    <w:rsid w:val="00F60A2F"/>
    <w:rsid w:val="00F65A6C"/>
    <w:rsid w:val="00F80785"/>
    <w:rsid w:val="00F828E1"/>
    <w:rsid w:val="00F83A54"/>
    <w:rsid w:val="00F855CB"/>
    <w:rsid w:val="00F965D1"/>
    <w:rsid w:val="00FB3A68"/>
    <w:rsid w:val="00FB474B"/>
    <w:rsid w:val="00FB5FAC"/>
    <w:rsid w:val="00FB64EB"/>
    <w:rsid w:val="00FB666F"/>
    <w:rsid w:val="00FC6EA1"/>
    <w:rsid w:val="00FC73FA"/>
    <w:rsid w:val="00FD0583"/>
    <w:rsid w:val="00FD1C09"/>
    <w:rsid w:val="00FD488E"/>
    <w:rsid w:val="00FD51FD"/>
    <w:rsid w:val="00FD56B4"/>
    <w:rsid w:val="00FE41B9"/>
    <w:rsid w:val="00FF2CD7"/>
    <w:rsid w:val="00FF6004"/>
    <w:rsid w:val="14FC8D3B"/>
    <w:rsid w:val="1792AFC6"/>
    <w:rsid w:val="74D394A0"/>
    <w:rsid w:val="7650A40D"/>
    <w:rsid w:val="7974C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D5508"/>
  <w15:chartTrackingRefBased/>
  <w15:docId w15:val="{E7BD5234-E2A9-4C39-88AC-6B9AA6EA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18"/>
        <w:szCs w:val="18"/>
        <w:lang w:val="en-US" w:eastAsia="en-US" w:bidi="ar-SA"/>
      </w:rPr>
    </w:rPrDefault>
    <w:pPrDefault>
      <w:pPr>
        <w:spacing w:after="280" w:line="280" w:lineRule="exact"/>
        <w:ind w:firstLine="187"/>
      </w:pPr>
    </w:pPrDefault>
  </w:docDefaults>
  <w:latentStyles w:defLockedState="0" w:defUIPriority="99" w:defSemiHidden="0" w:defUnhideWhenUsed="0" w:defQFormat="0" w:count="376">
    <w:lsdException w:name="Normal" w:uiPriority="0"/>
    <w:lsdException w:name="heading 1" w:uiPriority="4" w:qFormat="1"/>
    <w:lsdException w:name="heading 2" w:uiPriority="5" w:semiHidden="1" w:unhideWhenUsed="1" w:qFormat="1"/>
    <w:lsdException w:name="heading 3" w:uiPriority="6" w:semiHidden="1" w:unhideWhenUsed="1" w:qFormat="1"/>
    <w:lsdException w:name="heading 4" w:uiPriority="6"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9" w:semiHidden="1" w:qFormat="1"/>
    <w:lsdException w:name="Emphasis" w:uiPriority="29"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semiHidden="1" w:qFormat="1"/>
    <w:lsdException w:name="Intense Emphasis" w:uiPriority="21" w:qFormat="1"/>
    <w:lsdException w:name="Subtle Reference" w:uiPriority="31" w:semiHidden="1" w:qFormat="1"/>
    <w:lsdException w:name="Intense Reference" w:uiPriority="32"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8"/>
    <w:rsid w:val="00CA0EC5"/>
    <w:pPr>
      <w:spacing w:after="120" w:line="240" w:lineRule="auto"/>
      <w:ind w:firstLine="0"/>
    </w:pPr>
    <w:rPr>
      <w:color w:val="00B050"/>
    </w:rPr>
  </w:style>
  <w:style w:type="paragraph" w:styleId="Heading1">
    <w:name w:val="heading 1"/>
    <w:basedOn w:val="Normal"/>
    <w:next w:val="Orangeline"/>
    <w:link w:val="Heading1Char"/>
    <w:uiPriority w:val="4"/>
    <w:qFormat/>
    <w:rsid w:val="00C767E4"/>
    <w:pPr>
      <w:keepNext/>
      <w:spacing w:before="480" w:after="0" w:line="400" w:lineRule="exact"/>
      <w:outlineLvl w:val="0"/>
    </w:pPr>
    <w:rPr>
      <w:rFonts w:asciiTheme="majorHAnsi" w:hAnsiTheme="majorHAnsi" w:eastAsiaTheme="majorEastAsia" w:cstheme="majorBidi"/>
      <w:b/>
      <w:color w:val="000060" w:themeColor="accent1"/>
      <w:sz w:val="32"/>
      <w:szCs w:val="32"/>
    </w:rPr>
  </w:style>
  <w:style w:type="paragraph" w:styleId="Heading2">
    <w:name w:val="heading 2"/>
    <w:basedOn w:val="Normal"/>
    <w:next w:val="Bodycopy"/>
    <w:link w:val="Heading2Char"/>
    <w:uiPriority w:val="6"/>
    <w:qFormat/>
    <w:rsid w:val="00301106"/>
    <w:pPr>
      <w:keepNext/>
      <w:spacing w:before="240" w:line="320" w:lineRule="exact"/>
      <w:outlineLvl w:val="1"/>
    </w:pPr>
    <w:rPr>
      <w:rFonts w:asciiTheme="majorHAnsi" w:hAnsiTheme="majorHAnsi" w:eastAsiaTheme="majorEastAsia" w:cstheme="majorBidi"/>
      <w:iCs/>
      <w:color w:val="165EDA" w:themeColor="accent2"/>
      <w:sz w:val="26"/>
    </w:rPr>
  </w:style>
  <w:style w:type="paragraph" w:styleId="Heading3">
    <w:name w:val="heading 3"/>
    <w:basedOn w:val="Normal"/>
    <w:next w:val="Bodycopy"/>
    <w:link w:val="Heading3Char"/>
    <w:uiPriority w:val="29"/>
    <w:semiHidden/>
    <w:qFormat/>
    <w:rsid w:val="00DC7F70"/>
    <w:pPr>
      <w:keepNext/>
      <w:keepLines/>
      <w:spacing w:before="240" w:after="180" w:line="360" w:lineRule="exact"/>
      <w:outlineLvl w:val="2"/>
    </w:pPr>
    <w:rPr>
      <w:rFonts w:asciiTheme="majorHAnsi" w:hAnsiTheme="majorHAnsi" w:eastAsiaTheme="majorEastAsia" w:cstheme="majorBidi"/>
      <w:color w:val="165EDA" w:themeColor="accent2"/>
      <w:sz w:val="28"/>
      <w:szCs w:val="28"/>
    </w:rPr>
  </w:style>
  <w:style w:type="paragraph" w:styleId="Heading4">
    <w:name w:val="heading 4"/>
    <w:basedOn w:val="Normal"/>
    <w:next w:val="Bodycopy"/>
    <w:link w:val="Heading4Char"/>
    <w:uiPriority w:val="29"/>
    <w:semiHidden/>
    <w:rsid w:val="00DC7F70"/>
    <w:pPr>
      <w:keepNext/>
      <w:keepLines/>
      <w:spacing w:before="240" w:line="320" w:lineRule="exact"/>
      <w:outlineLvl w:val="3"/>
    </w:pPr>
    <w:rPr>
      <w:rFonts w:asciiTheme="majorHAnsi" w:hAnsiTheme="majorHAnsi" w:eastAsiaTheme="majorEastAsia" w:cstheme="majorBidi"/>
      <w:iCs/>
      <w:color w:val="165EDA" w:themeColor="accent2"/>
      <w:sz w:val="24"/>
    </w:rPr>
  </w:style>
  <w:style w:type="paragraph" w:styleId="Heading5">
    <w:name w:val="heading 5"/>
    <w:basedOn w:val="Normal"/>
    <w:next w:val="Normal"/>
    <w:link w:val="Heading5Char"/>
    <w:uiPriority w:val="29"/>
    <w:semiHidden/>
    <w:unhideWhenUsed/>
    <w:qFormat/>
    <w:rsid w:val="0014143B"/>
    <w:pPr>
      <w:keepNext/>
      <w:keepLines/>
      <w:spacing w:before="80" w:after="40"/>
      <w:outlineLvl w:val="4"/>
    </w:pPr>
    <w:rPr>
      <w:rFonts w:eastAsiaTheme="majorEastAsia" w:cstheme="majorBidi"/>
      <w:color w:val="000047" w:themeColor="accent1" w:themeShade="BF"/>
    </w:rPr>
  </w:style>
  <w:style w:type="paragraph" w:styleId="Heading6">
    <w:name w:val="heading 6"/>
    <w:basedOn w:val="Normal"/>
    <w:next w:val="Normal"/>
    <w:link w:val="Heading6Char"/>
    <w:uiPriority w:val="29"/>
    <w:semiHidden/>
    <w:unhideWhenUsed/>
    <w:qFormat/>
    <w:rsid w:val="00141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29"/>
    <w:semiHidden/>
    <w:unhideWhenUsed/>
    <w:qFormat/>
    <w:rsid w:val="00141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9"/>
    <w:semiHidden/>
    <w:unhideWhenUsed/>
    <w:qFormat/>
    <w:rsid w:val="00141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9"/>
    <w:semiHidden/>
    <w:unhideWhenUsed/>
    <w:qFormat/>
    <w:rsid w:val="0014143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4"/>
    <w:rsid w:val="00C767E4"/>
    <w:rPr>
      <w:rFonts w:asciiTheme="majorHAnsi" w:hAnsiTheme="majorHAnsi" w:eastAsiaTheme="majorEastAsia" w:cstheme="majorBidi"/>
      <w:b/>
      <w:color w:val="000060" w:themeColor="accent1"/>
      <w:sz w:val="32"/>
      <w:szCs w:val="32"/>
    </w:rPr>
  </w:style>
  <w:style w:type="character" w:styleId="Heading2Char" w:customStyle="1">
    <w:name w:val="Heading 2 Char"/>
    <w:basedOn w:val="DefaultParagraphFont"/>
    <w:link w:val="Heading2"/>
    <w:uiPriority w:val="6"/>
    <w:rsid w:val="00301106"/>
    <w:rPr>
      <w:rFonts w:asciiTheme="majorHAnsi" w:hAnsiTheme="majorHAnsi" w:eastAsiaTheme="majorEastAsia" w:cstheme="majorBidi"/>
      <w:iCs/>
      <w:color w:val="165EDA" w:themeColor="accent2"/>
      <w:sz w:val="26"/>
    </w:rPr>
  </w:style>
  <w:style w:type="character" w:styleId="Heading3Char" w:customStyle="1">
    <w:name w:val="Heading 3 Char"/>
    <w:basedOn w:val="DefaultParagraphFont"/>
    <w:link w:val="Heading3"/>
    <w:uiPriority w:val="29"/>
    <w:semiHidden/>
    <w:rsid w:val="00E70B87"/>
    <w:rPr>
      <w:rFonts w:asciiTheme="majorHAnsi" w:hAnsiTheme="majorHAnsi" w:eastAsiaTheme="majorEastAsia" w:cstheme="majorBidi"/>
      <w:color w:val="165EDA" w:themeColor="accent2"/>
      <w:sz w:val="28"/>
      <w:szCs w:val="28"/>
    </w:rPr>
  </w:style>
  <w:style w:type="character" w:styleId="Heading4Char" w:customStyle="1">
    <w:name w:val="Heading 4 Char"/>
    <w:basedOn w:val="DefaultParagraphFont"/>
    <w:link w:val="Heading4"/>
    <w:uiPriority w:val="29"/>
    <w:semiHidden/>
    <w:rsid w:val="00E70B87"/>
    <w:rPr>
      <w:rFonts w:asciiTheme="majorHAnsi" w:hAnsiTheme="majorHAnsi" w:eastAsiaTheme="majorEastAsia" w:cstheme="majorBidi"/>
      <w:iCs/>
      <w:color w:val="165EDA" w:themeColor="accent2"/>
      <w:sz w:val="24"/>
    </w:rPr>
  </w:style>
  <w:style w:type="character" w:styleId="Heading5Char" w:customStyle="1">
    <w:name w:val="Heading 5 Char"/>
    <w:basedOn w:val="DefaultParagraphFont"/>
    <w:link w:val="Heading5"/>
    <w:uiPriority w:val="29"/>
    <w:semiHidden/>
    <w:rsid w:val="0014143B"/>
    <w:rPr>
      <w:rFonts w:eastAsiaTheme="majorEastAsia" w:cstheme="majorBidi"/>
      <w:color w:val="000047" w:themeColor="accent1" w:themeShade="BF"/>
    </w:rPr>
  </w:style>
  <w:style w:type="character" w:styleId="Heading6Char" w:customStyle="1">
    <w:name w:val="Heading 6 Char"/>
    <w:basedOn w:val="DefaultParagraphFont"/>
    <w:link w:val="Heading6"/>
    <w:uiPriority w:val="29"/>
    <w:semiHidden/>
    <w:rsid w:val="0014143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29"/>
    <w:semiHidden/>
    <w:rsid w:val="0014143B"/>
    <w:rPr>
      <w:rFonts w:eastAsiaTheme="majorEastAsia" w:cstheme="majorBidi"/>
      <w:color w:val="595959" w:themeColor="text1" w:themeTint="A6"/>
    </w:rPr>
  </w:style>
  <w:style w:type="character" w:styleId="Heading8Char" w:customStyle="1">
    <w:name w:val="Heading 8 Char"/>
    <w:basedOn w:val="DefaultParagraphFont"/>
    <w:link w:val="Heading8"/>
    <w:uiPriority w:val="29"/>
    <w:semiHidden/>
    <w:rsid w:val="0014143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29"/>
    <w:semiHidden/>
    <w:rsid w:val="0014143B"/>
    <w:rPr>
      <w:rFonts w:eastAsiaTheme="majorEastAsia" w:cstheme="majorBidi"/>
      <w:color w:val="272727" w:themeColor="text1" w:themeTint="D8"/>
    </w:rPr>
  </w:style>
  <w:style w:type="paragraph" w:styleId="Title">
    <w:name w:val="Title"/>
    <w:basedOn w:val="Normal"/>
    <w:next w:val="Normal"/>
    <w:link w:val="TitleChar"/>
    <w:uiPriority w:val="29"/>
    <w:semiHidden/>
    <w:qFormat/>
    <w:rsid w:val="0014143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29"/>
    <w:semiHidden/>
    <w:rsid w:val="0014143B"/>
    <w:rPr>
      <w:rFonts w:asciiTheme="majorHAnsi" w:hAnsiTheme="majorHAnsi" w:eastAsiaTheme="majorEastAsia" w:cstheme="majorBidi"/>
      <w:color w:val="00B050"/>
      <w:spacing w:val="-10"/>
      <w:kern w:val="28"/>
      <w:sz w:val="56"/>
      <w:szCs w:val="56"/>
    </w:rPr>
  </w:style>
  <w:style w:type="paragraph" w:styleId="Subtitle">
    <w:name w:val="Subtitle"/>
    <w:basedOn w:val="Normal"/>
    <w:next w:val="Normal"/>
    <w:link w:val="SubtitleChar"/>
    <w:uiPriority w:val="29"/>
    <w:semiHidden/>
    <w:qFormat/>
    <w:rsid w:val="0014143B"/>
    <w:pPr>
      <w:numPr>
        <w:ilvl w:val="1"/>
      </w:numPr>
      <w:spacing w:after="160"/>
      <w:ind w:firstLine="187"/>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29"/>
    <w:semiHidden/>
    <w:rsid w:val="00141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14143B"/>
    <w:pPr>
      <w:spacing w:before="160" w:after="160"/>
      <w:jc w:val="center"/>
    </w:pPr>
    <w:rPr>
      <w:i/>
      <w:iCs/>
      <w:color w:val="404040" w:themeColor="text1" w:themeTint="BF"/>
    </w:rPr>
  </w:style>
  <w:style w:type="character" w:styleId="QuoteChar" w:customStyle="1">
    <w:name w:val="Quote Char"/>
    <w:basedOn w:val="DefaultParagraphFont"/>
    <w:link w:val="Quote"/>
    <w:uiPriority w:val="29"/>
    <w:semiHidden/>
    <w:rsid w:val="0014143B"/>
    <w:rPr>
      <w:i/>
      <w:iCs/>
      <w:color w:val="404040" w:themeColor="text1" w:themeTint="BF"/>
    </w:rPr>
  </w:style>
  <w:style w:type="paragraph" w:styleId="ListParagraph">
    <w:name w:val="List Paragraph"/>
    <w:basedOn w:val="Normal"/>
    <w:uiPriority w:val="34"/>
    <w:semiHidden/>
    <w:qFormat/>
    <w:rsid w:val="0014143B"/>
    <w:pPr>
      <w:ind w:left="720"/>
      <w:contextualSpacing/>
    </w:pPr>
  </w:style>
  <w:style w:type="character" w:styleId="IntenseEmphasis">
    <w:name w:val="Intense Emphasis"/>
    <w:basedOn w:val="DefaultParagraphFont"/>
    <w:uiPriority w:val="29"/>
    <w:semiHidden/>
    <w:qFormat/>
    <w:rsid w:val="0014143B"/>
    <w:rPr>
      <w:i/>
      <w:iCs/>
      <w:color w:val="000047" w:themeColor="accent1" w:themeShade="BF"/>
    </w:rPr>
  </w:style>
  <w:style w:type="paragraph" w:styleId="IntenseQuote">
    <w:name w:val="Intense Quote"/>
    <w:basedOn w:val="Normal"/>
    <w:next w:val="Normal"/>
    <w:link w:val="IntenseQuoteChar"/>
    <w:uiPriority w:val="30"/>
    <w:semiHidden/>
    <w:qFormat/>
    <w:rsid w:val="0014143B"/>
    <w:pPr>
      <w:pBdr>
        <w:top w:val="single" w:color="000047" w:themeColor="accent1" w:themeShade="BF" w:sz="4" w:space="10"/>
        <w:bottom w:val="single" w:color="000047" w:themeColor="accent1" w:themeShade="BF" w:sz="4" w:space="10"/>
      </w:pBdr>
      <w:spacing w:before="360" w:after="360"/>
      <w:ind w:left="864" w:right="864"/>
      <w:jc w:val="center"/>
    </w:pPr>
    <w:rPr>
      <w:i/>
      <w:iCs/>
      <w:color w:val="000047" w:themeColor="accent1" w:themeShade="BF"/>
    </w:rPr>
  </w:style>
  <w:style w:type="character" w:styleId="IntenseQuoteChar" w:customStyle="1">
    <w:name w:val="Intense Quote Char"/>
    <w:basedOn w:val="DefaultParagraphFont"/>
    <w:link w:val="IntenseQuote"/>
    <w:uiPriority w:val="30"/>
    <w:semiHidden/>
    <w:rsid w:val="0014143B"/>
    <w:rPr>
      <w:i/>
      <w:iCs/>
      <w:color w:val="000047" w:themeColor="accent1" w:themeShade="BF"/>
    </w:rPr>
  </w:style>
  <w:style w:type="character" w:styleId="IntenseReference">
    <w:name w:val="Intense Reference"/>
    <w:basedOn w:val="DefaultParagraphFont"/>
    <w:uiPriority w:val="32"/>
    <w:semiHidden/>
    <w:qFormat/>
    <w:rsid w:val="0014143B"/>
    <w:rPr>
      <w:b/>
      <w:bCs/>
      <w:smallCaps/>
      <w:color w:val="000047" w:themeColor="accent1" w:themeShade="BF"/>
      <w:spacing w:val="5"/>
    </w:rPr>
  </w:style>
  <w:style w:type="paragraph" w:styleId="Header">
    <w:name w:val="header"/>
    <w:basedOn w:val="Normal"/>
    <w:link w:val="HeaderChar"/>
    <w:uiPriority w:val="99"/>
    <w:rsid w:val="004B717F"/>
    <w:pPr>
      <w:spacing w:after="0" w:line="120" w:lineRule="exact"/>
      <w:ind w:right="-2956"/>
    </w:pPr>
    <w:rPr>
      <w:color w:val="000000" w:themeColor="text1"/>
      <w:sz w:val="12"/>
      <w:szCs w:val="24"/>
    </w:rPr>
  </w:style>
  <w:style w:type="character" w:styleId="HeaderChar" w:customStyle="1">
    <w:name w:val="Header Char"/>
    <w:basedOn w:val="DefaultParagraphFont"/>
    <w:link w:val="Header"/>
    <w:uiPriority w:val="99"/>
    <w:rsid w:val="004B717F"/>
    <w:rPr>
      <w:color w:val="000000" w:themeColor="text1"/>
      <w:sz w:val="12"/>
      <w:szCs w:val="24"/>
    </w:rPr>
  </w:style>
  <w:style w:type="paragraph" w:styleId="Footer">
    <w:name w:val="footer"/>
    <w:basedOn w:val="Normal"/>
    <w:link w:val="FooterChar"/>
    <w:uiPriority w:val="99"/>
    <w:rsid w:val="00BF0355"/>
    <w:pPr>
      <w:pBdr>
        <w:top w:val="single" w:color="DEDFDF" w:themeColor="text2" w:themeTint="33" w:sz="4" w:space="18"/>
      </w:pBdr>
      <w:tabs>
        <w:tab w:val="right" w:pos="9214"/>
        <w:tab w:val="right" w:pos="9611"/>
      </w:tabs>
      <w:spacing w:after="0"/>
      <w:ind w:right="-3283"/>
    </w:pPr>
    <w:rPr>
      <w:color w:val="000060" w:themeColor="accent1"/>
      <w:szCs w:val="24"/>
    </w:rPr>
  </w:style>
  <w:style w:type="character" w:styleId="FooterChar" w:customStyle="1">
    <w:name w:val="Footer Char"/>
    <w:basedOn w:val="DefaultParagraphFont"/>
    <w:link w:val="Footer"/>
    <w:uiPriority w:val="99"/>
    <w:rsid w:val="00BF0355"/>
    <w:rPr>
      <w:color w:val="000060" w:themeColor="accent1"/>
      <w:szCs w:val="24"/>
    </w:rPr>
  </w:style>
  <w:style w:type="table" w:styleId="TableGrid">
    <w:name w:val="Table Grid"/>
    <w:basedOn w:val="TableNormal"/>
    <w:uiPriority w:val="59"/>
    <w:rsid w:val="0014143B"/>
    <w:pPr>
      <w:spacing w:after="0" w:line="240" w:lineRule="auto"/>
      <w:ind w:firstLine="0"/>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
  </w:style>
  <w:style w:type="paragraph" w:styleId="Bodycopy" w:customStyle="1">
    <w:name w:val="Body copy"/>
    <w:basedOn w:val="Normal"/>
    <w:uiPriority w:val="7"/>
    <w:qFormat/>
    <w:rsid w:val="00C767E4"/>
    <w:pPr>
      <w:spacing w:after="180" w:line="260" w:lineRule="exact"/>
      <w:ind w:right="43"/>
    </w:pPr>
    <w:rPr>
      <w:rFonts w:eastAsia="Calibri" w:cs="Times New Roman"/>
      <w:color w:val="000060" w:themeColor="accent1"/>
      <w:sz w:val="20"/>
    </w:rPr>
  </w:style>
  <w:style w:type="paragraph" w:styleId="Exhibitheading1" w:customStyle="1">
    <w:name w:val="Exhibit heading 1"/>
    <w:basedOn w:val="Tablecopyleft"/>
    <w:next w:val="Tablecopyleft"/>
    <w:uiPriority w:val="10"/>
    <w:rsid w:val="00C767E4"/>
    <w:pPr>
      <w:spacing w:line="220" w:lineRule="exact"/>
      <w:ind w:right="0"/>
    </w:pPr>
    <w:rPr>
      <w:sz w:val="18"/>
    </w:rPr>
  </w:style>
  <w:style w:type="paragraph" w:styleId="Aboutbodycopy" w:customStyle="1">
    <w:name w:val="About body copy"/>
    <w:basedOn w:val="Bodycopy"/>
    <w:uiPriority w:val="21"/>
    <w:rsid w:val="00134065"/>
    <w:pPr>
      <w:spacing w:after="80" w:line="200" w:lineRule="exact"/>
      <w:ind w:right="567"/>
    </w:pPr>
    <w:rPr>
      <w:rFonts w:eastAsia="Times New Roman"/>
      <w:spacing w:val="-4"/>
      <w:sz w:val="16"/>
      <w:szCs w:val="20"/>
    </w:rPr>
  </w:style>
  <w:style w:type="paragraph" w:styleId="AuthorInfo" w:customStyle="1">
    <w:name w:val="Author Info"/>
    <w:basedOn w:val="Bodycopy"/>
    <w:uiPriority w:val="3"/>
    <w:rsid w:val="00B50060"/>
    <w:pPr>
      <w:spacing w:before="120" w:after="120" w:line="320" w:lineRule="exact"/>
      <w:ind w:right="0"/>
    </w:pPr>
    <w:rPr>
      <w:rFonts w:eastAsia="Times New Roman" w:asciiTheme="majorHAnsi" w:hAnsiTheme="majorHAnsi"/>
      <w:szCs w:val="20"/>
    </w:rPr>
  </w:style>
  <w:style w:type="table" w:styleId="Russelltable1" w:customStyle="1">
    <w:name w:val="Russell table1"/>
    <w:basedOn w:val="TableNormal"/>
    <w:uiPriority w:val="99"/>
    <w:rsid w:val="00F21589"/>
    <w:pPr>
      <w:spacing w:after="0" w:line="240" w:lineRule="auto"/>
      <w:ind w:firstLine="0"/>
    </w:pPr>
    <w:rPr>
      <w:color w:val="000060" w:themeColor="accent1"/>
      <w:sz w:val="16"/>
      <w:szCs w:val="24"/>
    </w:rPr>
    <w:tblPr>
      <w:tblStyleRowBandSize w:val="1"/>
      <w:tblBorders>
        <w:bottom w:val="single" w:color="5F6061" w:themeColor="text2" w:sz="4" w:space="0"/>
      </w:tblBorders>
      <w:tblCellMar>
        <w:left w:w="144" w:type="dxa"/>
        <w:right w:w="0" w:type="dxa"/>
      </w:tblCellMar>
    </w:tblPr>
    <w:trPr>
      <w:cantSplit/>
    </w:trPr>
    <w:tcPr>
      <w:vAlign w:val="center"/>
    </w:tcPr>
    <w:tblStylePr w:type="firstRow">
      <w:pPr>
        <w:jc w:val="center"/>
      </w:pPr>
      <w:rPr>
        <w:rFonts w:asciiTheme="minorHAnsi" w:hAnsiTheme="minorHAnsi"/>
        <w:b/>
        <w:i w:val="0"/>
        <w:caps w:val="0"/>
        <w:smallCaps w:val="0"/>
        <w:strike w:val="0"/>
        <w:dstrike w:val="0"/>
        <w:vanish w:val="0"/>
        <w:color w:val="165EDA" w:themeColor="accent2"/>
        <w:vertAlign w:val="baseline"/>
      </w:rPr>
      <w:tblPr/>
      <w:tcPr>
        <w:tcBorders>
          <w:top w:val="single" w:color="5F6061" w:themeColor="text2" w:sz="4" w:space="0"/>
          <w:left w:val="nil"/>
          <w:bottom w:val="single" w:color="5F6061" w:themeColor="text2" w:sz="4" w:space="0"/>
          <w:right w:val="nil"/>
          <w:insideH w:val="nil"/>
          <w:insideV w:val="nil"/>
          <w:tl2br w:val="nil"/>
          <w:tr2bl w:val="nil"/>
        </w:tcBorders>
        <w:shd w:val="clear" w:color="auto" w:fill="E7F0FA" w:themeFill="accent6"/>
      </w:tcPr>
    </w:tblStylePr>
    <w:tblStylePr w:type="lastRow">
      <w:rPr>
        <w:b/>
        <w:color w:val="5F6061" w:themeColor="text2"/>
      </w:rPr>
      <w:tblPr/>
      <w:tcPr>
        <w:tcBorders>
          <w:top w:val="single" w:color="7F7F7F" w:themeColor="text1" w:themeTint="80" w:sz="4" w:space="0"/>
          <w:left w:val="nil"/>
          <w:bottom w:val="single" w:color="7F7F7F" w:themeColor="text1" w:themeTint="80" w:sz="4" w:space="0"/>
          <w:right w:val="nil"/>
          <w:insideH w:val="nil"/>
          <w:insideV w:val="nil"/>
          <w:tl2br w:val="nil"/>
          <w:tr2bl w:val="nil"/>
        </w:tcBorders>
        <w:shd w:val="clear" w:color="auto" w:fill="DBDBDB" w:themeFill="background2" w:themeFillShade="E6"/>
      </w:tcPr>
    </w:tblStylePr>
    <w:tblStylePr w:type="firstCol">
      <w:rPr>
        <w:b/>
      </w:rPr>
    </w:tblStylePr>
    <w:tblStylePr w:type="band1Horz">
      <w:tblPr/>
      <w:tcPr>
        <w:shd w:val="clear" w:color="auto" w:fill="FFFFFF" w:themeFill="background1"/>
      </w:tcPr>
    </w:tblStylePr>
    <w:tblStylePr w:type="band2Horz">
      <w:tblPr/>
      <w:tcPr>
        <w:shd w:val="clear" w:color="auto" w:fill="F3F3F3" w:themeFill="background2"/>
      </w:tcPr>
    </w:tblStylePr>
  </w:style>
  <w:style w:type="paragraph" w:styleId="ExhibitTitle" w:customStyle="1">
    <w:name w:val="Exhibit Title"/>
    <w:basedOn w:val="Normal"/>
    <w:next w:val="Exhibitheading1"/>
    <w:uiPriority w:val="9"/>
    <w:rsid w:val="00C767E4"/>
    <w:pPr>
      <w:keepNext/>
      <w:spacing w:before="480" w:line="280" w:lineRule="exact"/>
    </w:pPr>
    <w:rPr>
      <w:rFonts w:eastAsia="Times New Roman" w:cs="Times New Roman" w:asciiTheme="majorHAnsi" w:hAnsiTheme="majorHAnsi"/>
      <w:b/>
      <w:bCs/>
      <w:color w:val="000060" w:themeColor="accent1"/>
      <w:sz w:val="24"/>
      <w:szCs w:val="20"/>
    </w:rPr>
  </w:style>
  <w:style w:type="paragraph" w:styleId="Source" w:customStyle="1">
    <w:name w:val="Source"/>
    <w:basedOn w:val="Tablecopyleft"/>
    <w:next w:val="Bodycopy"/>
    <w:uiPriority w:val="15"/>
    <w:rsid w:val="00F13391"/>
    <w:pPr>
      <w:spacing w:after="240"/>
    </w:pPr>
    <w:rPr>
      <w:color w:val="404040" w:themeColor="text1" w:themeTint="BF"/>
    </w:rPr>
  </w:style>
  <w:style w:type="table" w:styleId="TableGridLight">
    <w:name w:val="Grid Table Light"/>
    <w:basedOn w:val="TableNormal"/>
    <w:uiPriority w:val="40"/>
    <w:rsid w:val="0014143B"/>
    <w:pPr>
      <w:spacing w:after="0" w:line="240" w:lineRule="auto"/>
      <w:ind w:firstLine="0"/>
    </w:pPr>
    <w:rPr>
      <w:sz w:val="24"/>
      <w:szCs w:val="24"/>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left w:w="0" w:type="dxa"/>
        <w:right w:w="0" w:type="dxa"/>
      </w:tblCellMar>
    </w:tblPr>
  </w:style>
  <w:style w:type="paragraph" w:styleId="Calloutboxcopy" w:customStyle="1">
    <w:name w:val="Callout box copy"/>
    <w:basedOn w:val="Normal"/>
    <w:uiPriority w:val="8"/>
    <w:rsid w:val="00DE7BC2"/>
    <w:pPr>
      <w:keepNext/>
      <w:spacing w:after="300" w:line="360" w:lineRule="exact"/>
    </w:pPr>
    <w:rPr>
      <w:rFonts w:eastAsia="Times New Roman" w:cs="Times New Roman" w:asciiTheme="majorHAnsi" w:hAnsiTheme="majorHAnsi"/>
      <w:b/>
      <w:iCs/>
      <w:color w:val="000060" w:themeColor="accent1"/>
      <w:sz w:val="24"/>
      <w:szCs w:val="20"/>
    </w:rPr>
  </w:style>
  <w:style w:type="paragraph" w:styleId="Docsubtitle" w:customStyle="1">
    <w:name w:val="Doc subtitle"/>
    <w:basedOn w:val="Normal"/>
    <w:uiPriority w:val="2"/>
    <w:rsid w:val="004B1B75"/>
    <w:pPr>
      <w:spacing w:after="0" w:line="320" w:lineRule="exact"/>
      <w:ind w:left="1134" w:right="737"/>
      <w:contextualSpacing/>
    </w:pPr>
    <w:rPr>
      <w:rFonts w:eastAsia="Calibri" w:cs="Times New Roman" w:asciiTheme="majorHAnsi" w:hAnsiTheme="majorHAnsi"/>
      <w:color w:val="165EDA" w:themeColor="accent2"/>
      <w:sz w:val="24"/>
      <w:szCs w:val="20"/>
    </w:rPr>
  </w:style>
  <w:style w:type="paragraph" w:styleId="FootnoteText">
    <w:name w:val="footnote text"/>
    <w:basedOn w:val="Normal"/>
    <w:link w:val="FootnoteTextChar"/>
    <w:uiPriority w:val="24"/>
    <w:rsid w:val="002F0922"/>
    <w:pPr>
      <w:spacing w:before="60" w:after="0" w:line="180" w:lineRule="exact"/>
      <w:ind w:left="86" w:right="-3067" w:hanging="86"/>
    </w:pPr>
    <w:rPr>
      <w:color w:val="262626" w:themeColor="text1" w:themeTint="D9"/>
      <w:sz w:val="16"/>
      <w:szCs w:val="20"/>
    </w:rPr>
  </w:style>
  <w:style w:type="character" w:styleId="FootnoteTextChar" w:customStyle="1">
    <w:name w:val="Footnote Text Char"/>
    <w:basedOn w:val="DefaultParagraphFont"/>
    <w:link w:val="FootnoteText"/>
    <w:uiPriority w:val="24"/>
    <w:rsid w:val="002F0922"/>
    <w:rPr>
      <w:color w:val="262626" w:themeColor="text1" w:themeTint="D9"/>
      <w:sz w:val="16"/>
      <w:szCs w:val="20"/>
    </w:rPr>
  </w:style>
  <w:style w:type="character" w:styleId="FootnoteReference">
    <w:name w:val="footnote reference"/>
    <w:basedOn w:val="DefaultParagraphFont"/>
    <w:uiPriority w:val="24"/>
    <w:rsid w:val="0014143B"/>
    <w:rPr>
      <w:vertAlign w:val="superscript"/>
    </w:rPr>
  </w:style>
  <w:style w:type="paragraph" w:styleId="ImportantDisclosures" w:customStyle="1">
    <w:name w:val="Important Disclosures"/>
    <w:basedOn w:val="Normal"/>
    <w:uiPriority w:val="22"/>
    <w:rsid w:val="002F0922"/>
    <w:pPr>
      <w:spacing w:after="60" w:line="180" w:lineRule="exact"/>
    </w:pPr>
    <w:rPr>
      <w:rFonts w:eastAsia="Calibri" w:cs="Times New Roman" w:asciiTheme="majorHAnsi" w:hAnsiTheme="majorHAnsi"/>
      <w:b/>
      <w:color w:val="262626" w:themeColor="text1" w:themeTint="D9"/>
      <w:sz w:val="16"/>
    </w:rPr>
  </w:style>
  <w:style w:type="paragraph" w:styleId="Tablecopyleft" w:customStyle="1">
    <w:name w:val="Table copy left"/>
    <w:basedOn w:val="Normal"/>
    <w:uiPriority w:val="13"/>
    <w:rsid w:val="00F21589"/>
    <w:pPr>
      <w:keepNext/>
      <w:spacing w:before="80" w:after="80"/>
      <w:ind w:right="144"/>
    </w:pPr>
    <w:rPr>
      <w:rFonts w:eastAsia="Calibri" w:cs="Times New Roman"/>
      <w:color w:val="000060" w:themeColor="accent1"/>
      <w:sz w:val="16"/>
    </w:rPr>
  </w:style>
  <w:style w:type="paragraph" w:styleId="PulloutFactHdg" w:customStyle="1">
    <w:name w:val="Pullout Fact Hdg"/>
    <w:basedOn w:val="Normal"/>
    <w:next w:val="Aboutbodycopy"/>
    <w:uiPriority w:val="8"/>
    <w:rsid w:val="00C767E4"/>
    <w:pPr>
      <w:keepNext/>
      <w:spacing w:after="0"/>
      <w:jc w:val="center"/>
    </w:pPr>
    <w:rPr>
      <w:rFonts w:eastAsia="Times New Roman" w:cs="Times New Roman" w:asciiTheme="majorHAnsi" w:hAnsiTheme="majorHAnsi"/>
      <w:b/>
      <w:bCs/>
      <w:color w:val="000060" w:themeColor="accent1"/>
      <w:sz w:val="24"/>
      <w:szCs w:val="20"/>
    </w:rPr>
  </w:style>
  <w:style w:type="paragraph" w:styleId="Tablesubsectionheading" w:customStyle="1">
    <w:name w:val="Table subsection heading"/>
    <w:basedOn w:val="Tablecopyleft"/>
    <w:uiPriority w:val="10"/>
    <w:rsid w:val="00FD0583"/>
    <w:rPr>
      <w:bCs/>
      <w:color w:val="165EDA" w:themeColor="accent2"/>
      <w:szCs w:val="24"/>
    </w:rPr>
  </w:style>
  <w:style w:type="numbering" w:styleId="Alphanumericlist" w:customStyle="1">
    <w:name w:val="Alphanumeric list"/>
    <w:basedOn w:val="NoList"/>
    <w:uiPriority w:val="99"/>
    <w:rsid w:val="00631691"/>
    <w:pPr>
      <w:numPr>
        <w:numId w:val="1"/>
      </w:numPr>
    </w:pPr>
  </w:style>
  <w:style w:type="numbering" w:styleId="Bulletsymbols" w:customStyle="1">
    <w:name w:val="Bullet symbols"/>
    <w:basedOn w:val="NoList"/>
    <w:uiPriority w:val="99"/>
    <w:rsid w:val="00AF367B"/>
    <w:pPr>
      <w:numPr>
        <w:numId w:val="2"/>
      </w:numPr>
    </w:pPr>
  </w:style>
  <w:style w:type="numbering" w:styleId="Decimaloutline" w:customStyle="1">
    <w:name w:val="Decimal outline"/>
    <w:basedOn w:val="NoList"/>
    <w:uiPriority w:val="99"/>
    <w:rsid w:val="00AE0ED2"/>
    <w:pPr>
      <w:numPr>
        <w:numId w:val="3"/>
      </w:numPr>
    </w:pPr>
  </w:style>
  <w:style w:type="paragraph" w:styleId="Orangeline" w:customStyle="1">
    <w:name w:val="Orange line"/>
    <w:basedOn w:val="Normal"/>
    <w:next w:val="Bodycopy"/>
    <w:uiPriority w:val="5"/>
    <w:qFormat/>
    <w:rsid w:val="00301106"/>
    <w:pPr>
      <w:keepNext/>
      <w:pBdr>
        <w:bottom w:val="single" w:color="E4761B" w:themeColor="accent4" w:sz="12" w:space="1"/>
      </w:pBdr>
      <w:spacing w:after="160" w:line="120" w:lineRule="exact"/>
      <w:ind w:right="4003"/>
    </w:pPr>
    <w:rPr>
      <w:rFonts w:eastAsia="Times New Roman" w:cs="Times New Roman"/>
      <w:color w:val="000060" w:themeColor="accent1"/>
      <w:sz w:val="12"/>
      <w:szCs w:val="20"/>
    </w:rPr>
  </w:style>
  <w:style w:type="character" w:styleId="AuthorNameCHAR" w:customStyle="1">
    <w:name w:val="Author Name CHAR"/>
    <w:basedOn w:val="DefaultParagraphFont"/>
    <w:uiPriority w:val="3"/>
    <w:rsid w:val="00C767E4"/>
    <w:rPr>
      <w:b/>
      <w:color w:val="000060" w:themeColor="accent1"/>
      <w:sz w:val="24"/>
    </w:rPr>
  </w:style>
  <w:style w:type="paragraph" w:styleId="AboutRussell" w:customStyle="1">
    <w:name w:val="About Russell"/>
    <w:basedOn w:val="Docsubtitle"/>
    <w:uiPriority w:val="20"/>
    <w:rsid w:val="00C767E4"/>
    <w:pPr>
      <w:keepNext/>
      <w:spacing w:before="360" w:after="120"/>
      <w:ind w:left="0"/>
      <w:contextualSpacing w:val="0"/>
    </w:pPr>
    <w:rPr>
      <w:b/>
      <w:noProof/>
      <w:color w:val="000060" w:themeColor="accent1"/>
    </w:rPr>
  </w:style>
  <w:style w:type="paragraph" w:styleId="Exhibitplacedelement" w:customStyle="1">
    <w:name w:val="Exhibit placed element"/>
    <w:basedOn w:val="Normal"/>
    <w:next w:val="Bodycopy"/>
    <w:uiPriority w:val="10"/>
    <w:rsid w:val="0063527A"/>
    <w:pPr>
      <w:keepNext/>
      <w:spacing w:after="0"/>
    </w:pPr>
    <w:rPr>
      <w:rFonts w:eastAsia="Times New Roman" w:cs="Times New Roman"/>
      <w:color w:val="000000" w:themeColor="text1"/>
      <w:sz w:val="16"/>
      <w:szCs w:val="20"/>
    </w:rPr>
  </w:style>
  <w:style w:type="paragraph" w:styleId="Disclosurebodycopy" w:customStyle="1">
    <w:name w:val="Disclosure body copy"/>
    <w:basedOn w:val="Aboutbodycopy"/>
    <w:uiPriority w:val="23"/>
    <w:rsid w:val="002F0922"/>
    <w:pPr>
      <w:spacing w:line="190" w:lineRule="exact"/>
      <w:ind w:right="0"/>
    </w:pPr>
    <w:rPr>
      <w:color w:val="262626" w:themeColor="text1" w:themeTint="D9"/>
      <w:spacing w:val="0"/>
    </w:rPr>
  </w:style>
  <w:style w:type="paragraph" w:styleId="Calltoactionheading" w:customStyle="1">
    <w:name w:val="Call to action heading"/>
    <w:uiPriority w:val="18"/>
    <w:rsid w:val="00C767E4"/>
    <w:pPr>
      <w:spacing w:before="720" w:after="0" w:line="440" w:lineRule="exact"/>
      <w:ind w:firstLine="0"/>
    </w:pPr>
    <w:rPr>
      <w:rFonts w:eastAsia="Calibri" w:cs="Times New Roman" w:asciiTheme="majorHAnsi" w:hAnsiTheme="majorHAnsi"/>
      <w:b/>
      <w:noProof/>
      <w:color w:val="000060" w:themeColor="accent1"/>
      <w:sz w:val="44"/>
    </w:rPr>
  </w:style>
  <w:style w:type="paragraph" w:styleId="Calltoactionbody" w:customStyle="1">
    <w:name w:val="Call to action body"/>
    <w:uiPriority w:val="19"/>
    <w:rsid w:val="00C767E4"/>
    <w:pPr>
      <w:spacing w:after="0" w:line="320" w:lineRule="exact"/>
      <w:ind w:firstLine="0"/>
    </w:pPr>
    <w:rPr>
      <w:rFonts w:eastAsia="Times New Roman" w:cs="Times New Roman" w:asciiTheme="majorHAnsi" w:hAnsiTheme="majorHAnsi"/>
      <w:color w:val="000060" w:themeColor="accent1"/>
      <w:spacing w:val="-4"/>
      <w:sz w:val="24"/>
      <w:szCs w:val="20"/>
    </w:rPr>
  </w:style>
  <w:style w:type="character" w:styleId="CalltoactionCHAR" w:customStyle="1">
    <w:name w:val="Call to action CHAR"/>
    <w:basedOn w:val="DefaultParagraphFont"/>
    <w:uiPriority w:val="19"/>
    <w:rsid w:val="00C767E4"/>
    <w:rPr>
      <w:b/>
      <w:bCs/>
      <w:color w:val="165EDA" w:themeColor="accent2"/>
    </w:rPr>
  </w:style>
  <w:style w:type="paragraph" w:styleId="Doctitle" w:customStyle="1">
    <w:name w:val="Doc title"/>
    <w:uiPriority w:val="1"/>
    <w:rsid w:val="003350A5"/>
    <w:pPr>
      <w:spacing w:after="240" w:line="520" w:lineRule="exact"/>
      <w:ind w:left="1134" w:right="737" w:firstLine="0"/>
    </w:pPr>
    <w:rPr>
      <w:rFonts w:cs="Arial" w:asciiTheme="majorHAnsi" w:hAnsiTheme="majorHAnsi" w:eastAsiaTheme="minorEastAsia"/>
      <w:b/>
      <w:bCs/>
      <w:color w:val="000060" w:themeColor="accent1"/>
      <w:sz w:val="44"/>
      <w:szCs w:val="96"/>
    </w:rPr>
  </w:style>
  <w:style w:type="character" w:styleId="Emphasizedbodycopy" w:customStyle="1">
    <w:name w:val="Emphasized body copy"/>
    <w:basedOn w:val="DefaultParagraphFont"/>
    <w:uiPriority w:val="7"/>
    <w:qFormat/>
    <w:rsid w:val="007B51F2"/>
    <w:rPr>
      <w:b/>
      <w:color w:val="165EDA" w:themeColor="accent2"/>
    </w:rPr>
  </w:style>
  <w:style w:type="paragraph" w:styleId="ExhibitTitlespanfullpage" w:customStyle="1">
    <w:name w:val="Exhibit Title span full page"/>
    <w:basedOn w:val="ExhibitTitle"/>
    <w:uiPriority w:val="9"/>
    <w:rsid w:val="004B717F"/>
    <w:pPr>
      <w:ind w:right="-3290"/>
    </w:pPr>
  </w:style>
  <w:style w:type="paragraph" w:styleId="ReadingAppendixcopy" w:customStyle="1">
    <w:name w:val="Reading/Appendix copy"/>
    <w:basedOn w:val="Bodycopy"/>
    <w:uiPriority w:val="17"/>
    <w:rsid w:val="0014143B"/>
    <w:pPr>
      <w:ind w:right="-3384"/>
    </w:pPr>
  </w:style>
  <w:style w:type="paragraph" w:styleId="Sourcespanfullpage" w:customStyle="1">
    <w:name w:val="Source span full page"/>
    <w:basedOn w:val="Source"/>
    <w:uiPriority w:val="15"/>
    <w:rsid w:val="00F13391"/>
    <w:pPr>
      <w:ind w:right="-3283"/>
    </w:pPr>
    <w:rPr>
      <w:rFonts w:eastAsia="Times New Roman"/>
      <w:szCs w:val="20"/>
    </w:rPr>
  </w:style>
  <w:style w:type="paragraph" w:styleId="Exhibitheading1spanfullpage" w:customStyle="1">
    <w:name w:val="Exhibit heading 1 span full page"/>
    <w:basedOn w:val="Exhibitheading1"/>
    <w:uiPriority w:val="10"/>
    <w:rsid w:val="0014143B"/>
    <w:pPr>
      <w:spacing w:before="0" w:after="120" w:line="200" w:lineRule="exact"/>
      <w:ind w:right="-3384"/>
    </w:pPr>
    <w:rPr>
      <w:rFonts w:eastAsia="Times New Roman"/>
      <w:szCs w:val="20"/>
    </w:rPr>
  </w:style>
  <w:style w:type="paragraph" w:styleId="IntroOutrocopy" w:customStyle="1">
    <w:name w:val="Intro/Outro copy"/>
    <w:basedOn w:val="Bodycopy"/>
    <w:uiPriority w:val="3"/>
    <w:rsid w:val="00A45448"/>
    <w:pPr>
      <w:spacing w:after="300" w:line="320" w:lineRule="exact"/>
      <w:ind w:right="0"/>
    </w:pPr>
    <w:rPr>
      <w:sz w:val="24"/>
    </w:rPr>
  </w:style>
  <w:style w:type="paragraph" w:styleId="Pulloutplacedelement" w:customStyle="1">
    <w:name w:val="Pullout placed element"/>
    <w:basedOn w:val="Exhibitplacedelement"/>
    <w:uiPriority w:val="8"/>
    <w:rsid w:val="003350A5"/>
    <w:pPr>
      <w:spacing w:after="180"/>
    </w:pPr>
    <w:rPr>
      <w:noProof/>
    </w:rPr>
  </w:style>
  <w:style w:type="paragraph" w:styleId="NOsource" w:customStyle="1">
    <w:name w:val="NO source"/>
    <w:basedOn w:val="Source"/>
    <w:next w:val="Bodycopy"/>
    <w:uiPriority w:val="16"/>
    <w:rsid w:val="00967518"/>
    <w:rPr>
      <w:rFonts w:ascii="Arial" w:hAnsi="Arial" w:eastAsia="Times New Roman"/>
      <w:szCs w:val="20"/>
    </w:rPr>
  </w:style>
  <w:style w:type="paragraph" w:styleId="Tablecopycenter" w:customStyle="1">
    <w:name w:val="Table copy center"/>
    <w:basedOn w:val="Tablecopyleft"/>
    <w:uiPriority w:val="14"/>
    <w:rsid w:val="00F21589"/>
    <w:pPr>
      <w:jc w:val="center"/>
    </w:pPr>
    <w:rPr>
      <w:rFonts w:eastAsia="Times New Roman"/>
      <w:szCs w:val="20"/>
    </w:rPr>
  </w:style>
  <w:style w:type="paragraph" w:styleId="Tablecopyright" w:customStyle="1">
    <w:name w:val="Table copy right"/>
    <w:basedOn w:val="Tablecopyleft"/>
    <w:uiPriority w:val="14"/>
    <w:qFormat/>
    <w:rsid w:val="0014143B"/>
    <w:pPr>
      <w:jc w:val="right"/>
    </w:pPr>
    <w:rPr>
      <w:rFonts w:eastAsia="Times New Roman"/>
      <w:szCs w:val="20"/>
    </w:rPr>
  </w:style>
  <w:style w:type="character" w:styleId="Hyperlink">
    <w:name w:val="Hyperlink"/>
    <w:basedOn w:val="DefaultParagraphFont"/>
    <w:uiPriority w:val="27"/>
    <w:rsid w:val="0014143B"/>
    <w:rPr>
      <w:color w:val="165EDA" w:themeColor="hyperlink"/>
      <w:u w:val="single"/>
    </w:rPr>
  </w:style>
  <w:style w:type="character" w:styleId="UnresolvedMention">
    <w:name w:val="Unresolved Mention"/>
    <w:basedOn w:val="DefaultParagraphFont"/>
    <w:uiPriority w:val="99"/>
    <w:semiHidden/>
    <w:unhideWhenUsed/>
    <w:rsid w:val="0014143B"/>
    <w:rPr>
      <w:color w:val="605E5C"/>
      <w:shd w:val="clear" w:color="auto" w:fill="E1DFDD"/>
    </w:rPr>
  </w:style>
  <w:style w:type="character" w:styleId="CommentReference">
    <w:name w:val="annotation reference"/>
    <w:basedOn w:val="DefaultParagraphFont"/>
    <w:uiPriority w:val="99"/>
    <w:semiHidden/>
    <w:unhideWhenUsed/>
    <w:rsid w:val="00232E44"/>
    <w:rPr>
      <w:sz w:val="16"/>
      <w:szCs w:val="16"/>
    </w:rPr>
  </w:style>
  <w:style w:type="paragraph" w:styleId="CommentText">
    <w:name w:val="annotation text"/>
    <w:basedOn w:val="Normal"/>
    <w:link w:val="CommentTextChar"/>
    <w:uiPriority w:val="99"/>
    <w:semiHidden/>
    <w:rsid w:val="00232E44"/>
    <w:rPr>
      <w:sz w:val="20"/>
      <w:szCs w:val="20"/>
    </w:rPr>
  </w:style>
  <w:style w:type="character" w:styleId="CommentTextChar" w:customStyle="1">
    <w:name w:val="Comment Text Char"/>
    <w:basedOn w:val="DefaultParagraphFont"/>
    <w:link w:val="CommentText"/>
    <w:uiPriority w:val="99"/>
    <w:semiHidden/>
    <w:rsid w:val="00250357"/>
    <w:rPr>
      <w:color w:val="00B050"/>
      <w:sz w:val="20"/>
      <w:szCs w:val="20"/>
    </w:rPr>
  </w:style>
  <w:style w:type="paragraph" w:styleId="CommentSubject">
    <w:name w:val="annotation subject"/>
    <w:basedOn w:val="CommentText"/>
    <w:next w:val="CommentText"/>
    <w:link w:val="CommentSubjectChar"/>
    <w:uiPriority w:val="99"/>
    <w:semiHidden/>
    <w:unhideWhenUsed/>
    <w:rsid w:val="00232E44"/>
    <w:rPr>
      <w:b/>
      <w:bCs/>
    </w:rPr>
  </w:style>
  <w:style w:type="character" w:styleId="CommentSubjectChar" w:customStyle="1">
    <w:name w:val="Comment Subject Char"/>
    <w:basedOn w:val="CommentTextChar"/>
    <w:link w:val="CommentSubject"/>
    <w:uiPriority w:val="99"/>
    <w:semiHidden/>
    <w:rsid w:val="00232E44"/>
    <w:rPr>
      <w:b/>
      <w:bCs/>
      <w:color w:val="00B050"/>
      <w:sz w:val="20"/>
      <w:szCs w:val="20"/>
    </w:rPr>
  </w:style>
  <w:style w:type="paragraph" w:styleId="DocType" w:customStyle="1">
    <w:name w:val="Doc Type"/>
    <w:basedOn w:val="Normal"/>
    <w:rsid w:val="004B1B75"/>
    <w:pPr>
      <w:spacing w:after="140"/>
      <w:ind w:left="1134"/>
    </w:pPr>
    <w:rPr>
      <w:caps/>
      <w:color w:val="5F6061" w:themeColor="text2"/>
      <w:spacing w:val="8"/>
    </w:rPr>
  </w:style>
  <w:style w:type="paragraph" w:styleId="Footerdisclosure" w:customStyle="1">
    <w:name w:val="Footer disclosure"/>
    <w:basedOn w:val="Disclosurebodycopy"/>
    <w:uiPriority w:val="27"/>
    <w:rsid w:val="0029373B"/>
    <w:pPr>
      <w:spacing w:before="120" w:after="0"/>
      <w:ind w:right="216"/>
    </w:pPr>
    <w:rPr>
      <w:caps/>
    </w:rPr>
  </w:style>
  <w:style w:type="paragraph" w:styleId="Backpagecopy" w:customStyle="1">
    <w:name w:val="Back page copy"/>
    <w:basedOn w:val="IntroOutrocopy"/>
    <w:uiPriority w:val="18"/>
    <w:rsid w:val="00201384"/>
    <w:pPr>
      <w:spacing w:after="720"/>
      <w:ind w:right="403"/>
    </w:pPr>
  </w:style>
  <w:style w:type="paragraph" w:styleId="EndnoteText">
    <w:name w:val="endnote text"/>
    <w:basedOn w:val="FootnoteText"/>
    <w:link w:val="EndnoteTextChar"/>
    <w:uiPriority w:val="25"/>
    <w:rsid w:val="00431E98"/>
  </w:style>
  <w:style w:type="character" w:styleId="EndnoteTextChar" w:customStyle="1">
    <w:name w:val="Endnote Text Char"/>
    <w:basedOn w:val="DefaultParagraphFont"/>
    <w:link w:val="EndnoteText"/>
    <w:uiPriority w:val="25"/>
    <w:rsid w:val="00C07983"/>
    <w:rPr>
      <w:color w:val="000000" w:themeColor="text1"/>
      <w:sz w:val="16"/>
      <w:szCs w:val="20"/>
    </w:rPr>
  </w:style>
  <w:style w:type="character" w:styleId="EndnoteReference">
    <w:name w:val="endnote reference"/>
    <w:basedOn w:val="DefaultParagraphFont"/>
    <w:uiPriority w:val="25"/>
    <w:rsid w:val="001E65D2"/>
    <w:rPr>
      <w:vertAlign w:val="superscript"/>
    </w:rPr>
  </w:style>
  <w:style w:type="table" w:styleId="PlainTable2">
    <w:name w:val="Plain Table 2"/>
    <w:basedOn w:val="TableNormal"/>
    <w:uiPriority w:val="42"/>
    <w:rsid w:val="007B51F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Back-disclosures" w:customStyle="1">
    <w:name w:val="Back - disclosures"/>
    <w:basedOn w:val="Normal"/>
    <w:uiPriority w:val="25"/>
    <w:rsid w:val="00747117"/>
    <w:pPr>
      <w:spacing w:after="80" w:line="180" w:lineRule="exact"/>
    </w:pPr>
    <w:rPr>
      <w:rFonts w:eastAsia="Times New Roman" w:cs="Times New Roman"/>
      <w:color w:val="000000" w:themeColor="text1"/>
      <w:spacing w:val="-4"/>
      <w:sz w:val="16"/>
      <w:szCs w:val="20"/>
    </w:rPr>
  </w:style>
  <w:style w:type="paragraph" w:styleId="Heading1NOspacebefore" w:customStyle="1">
    <w:name w:val="Heading 1 NO space before"/>
    <w:basedOn w:val="Heading1"/>
    <w:next w:val="Orangeline"/>
    <w:uiPriority w:val="5"/>
    <w:rsid w:val="00240645"/>
    <w:pPr>
      <w:spacing w:before="0"/>
    </w:pPr>
    <w:rPr>
      <w:rFonts w:eastAsia="Times New Roman" w:cs="Times New Roman"/>
      <w:bCs/>
      <w:szCs w:val="20"/>
    </w:rPr>
  </w:style>
  <w:style w:type="paragraph" w:styleId="Heading2NOspacebefore" w:customStyle="1">
    <w:name w:val="Heading 2 NO space before"/>
    <w:basedOn w:val="Heading2"/>
    <w:uiPriority w:val="6"/>
    <w:rsid w:val="00240645"/>
    <w:pPr>
      <w:spacing w:before="0"/>
    </w:pPr>
    <w:rPr>
      <w:rFonts w:eastAsia="Times New Roman" w:cs="Times New Roman"/>
      <w:iCs w:val="0"/>
      <w:szCs w:val="20"/>
    </w:rPr>
  </w:style>
  <w:style w:type="table" w:styleId="GridTable1Light">
    <w:name w:val="Grid Table 1 Light"/>
    <w:basedOn w:val="TableNormal"/>
    <w:uiPriority w:val="46"/>
    <w:rsid w:val="004F35A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hyperlink" Target="https://russellinvestments.com.au" TargetMode="External" Id="rId17" /><Relationship Type="http://schemas.openxmlformats.org/officeDocument/2006/relationships/customXml" Target="../customXml/item2.xml" Id="rId2" /><Relationship Type="http://schemas.openxmlformats.org/officeDocument/2006/relationships/hyperlink" Target="https://russellinvestments.com/content/ri/au/en-gb/about-us/au-ais-team.html" TargetMode="Externa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nawar\Downloads\A4_1-col_IWB.dotx" TargetMode="External"/></Relationships>
</file>

<file path=word/theme/theme1.xml><?xml version="1.0" encoding="utf-8"?>
<a:theme xmlns:a="http://schemas.openxmlformats.org/drawingml/2006/main" xmlns:thm15="http://schemas.microsoft.com/office/thememl/2012/main" name="Office Theme">
  <a:themeElements>
    <a:clrScheme name="Russell2025">
      <a:dk1>
        <a:srgbClr val="000000"/>
      </a:dk1>
      <a:lt1>
        <a:srgbClr val="FFFFFF"/>
      </a:lt1>
      <a:dk2>
        <a:srgbClr val="5F6061"/>
      </a:dk2>
      <a:lt2>
        <a:srgbClr val="F3F3F3"/>
      </a:lt2>
      <a:accent1>
        <a:srgbClr val="000060"/>
      </a:accent1>
      <a:accent2>
        <a:srgbClr val="165EDA"/>
      </a:accent2>
      <a:accent3>
        <a:srgbClr val="A39A93"/>
      </a:accent3>
      <a:accent4>
        <a:srgbClr val="E4761B"/>
      </a:accent4>
      <a:accent5>
        <a:srgbClr val="020E41"/>
      </a:accent5>
      <a:accent6>
        <a:srgbClr val="E7F0FA"/>
      </a:accent6>
      <a:hlink>
        <a:srgbClr val="165EDA"/>
      </a:hlink>
      <a:folHlink>
        <a:srgbClr val="606060"/>
      </a:folHlink>
    </a:clrScheme>
    <a:fontScheme name="Russell2025">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1CD9D0C8B38942B1D38552F9912594" ma:contentTypeVersion="18" ma:contentTypeDescription="Create a new document." ma:contentTypeScope="" ma:versionID="573f6ecc5e7cb5180e7f7e54a995308d">
  <xsd:schema xmlns:xsd="http://www.w3.org/2001/XMLSchema" xmlns:xs="http://www.w3.org/2001/XMLSchema" xmlns:p="http://schemas.microsoft.com/office/2006/metadata/properties" xmlns:ns2="9434877f-7b66-4ea3-9cd7-04f38803de87" xmlns:ns3="9e011c71-9ee8-41dc-9f6f-4c017d569416" targetNamespace="http://schemas.microsoft.com/office/2006/metadata/properties" ma:root="true" ma:fieldsID="36395a0941894e862f02e1f1a5c6e131" ns2:_="" ns3:_="">
    <xsd:import namespace="9434877f-7b66-4ea3-9cd7-04f38803de87"/>
    <xsd:import namespace="9e011c71-9ee8-41dc-9f6f-4c017d5694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4877f-7b66-4ea3-9cd7-04f38803d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065594-cf3b-405a-949a-0cf7764490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011c71-9ee8-41dc-9f6f-4c017d5694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a2dd2c-fe8a-4934-b034-ff3c389959c5}" ma:internalName="TaxCatchAll" ma:showField="CatchAllData" ma:web="9e011c71-9ee8-41dc-9f6f-4c017d569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011c71-9ee8-41dc-9f6f-4c017d569416" xsi:nil="true"/>
    <lcf76f155ced4ddcb4097134ff3c332f xmlns="9434877f-7b66-4ea3-9cd7-04f38803de8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A1274-A0F1-4896-AEBF-FF54FA7B1DE6}">
  <ds:schemaRefs>
    <ds:schemaRef ds:uri="http://schemas.openxmlformats.org/officeDocument/2006/bibliography"/>
  </ds:schemaRefs>
</ds:datastoreItem>
</file>

<file path=customXml/itemProps2.xml><?xml version="1.0" encoding="utf-8"?>
<ds:datastoreItem xmlns:ds="http://schemas.openxmlformats.org/officeDocument/2006/customXml" ds:itemID="{9C40A798-207C-4D8C-95CA-02D41E2A92CE}"/>
</file>

<file path=customXml/itemProps3.xml><?xml version="1.0" encoding="utf-8"?>
<ds:datastoreItem xmlns:ds="http://schemas.openxmlformats.org/officeDocument/2006/customXml" ds:itemID="{66B28DD9-BD13-4249-8ECA-D99E0D95FDA9}">
  <ds:schemaRefs>
    <ds:schemaRef ds:uri="http://schemas.microsoft.com/office/2006/metadata/properties"/>
    <ds:schemaRef ds:uri="http://schemas.microsoft.com/office/infopath/2007/PartnerControls"/>
    <ds:schemaRef ds:uri="4a437b21-c365-4cd6-b6ba-31a4416dc0b7"/>
    <ds:schemaRef ds:uri="41fe362b-87b3-4c00-8b7e-3d3e72ecc28f"/>
    <ds:schemaRef ds:uri="http://schemas.microsoft.com/sharepoint/v3"/>
  </ds:schemaRefs>
</ds:datastoreItem>
</file>

<file path=customXml/itemProps4.xml><?xml version="1.0" encoding="utf-8"?>
<ds:datastoreItem xmlns:ds="http://schemas.openxmlformats.org/officeDocument/2006/customXml" ds:itemID="{A54210EB-610E-48D8-9560-0AB53EFCE11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A4_1-col_IWB.dotx</ap:Template>
  <ap:Application>Microsoft Word for the web</ap:Application>
  <ap:DocSecurity>4</ap:DocSecurity>
  <ap:ScaleCrop>false</ap:ScaleCrop>
  <ap:Manager>Russell Investments</ap:Manager>
  <ap:Company>Russell Investments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Russell Investments</dc:subject>
  <dc:creator>de Alwis Gunawardana, Anushika</dc:creator>
  <keywords/>
  <dc:description/>
  <lastModifiedBy>Parmar, Manisha</lastModifiedBy>
  <revision>53</revision>
  <lastPrinted>2025-08-06T08:17:00.0000000Z</lastPrinted>
  <dcterms:created xsi:type="dcterms:W3CDTF">2026-02-11T19:54:00.0000000Z</dcterms:created>
  <dcterms:modified xsi:type="dcterms:W3CDTF">2026-02-18T02:43:28.2835172Z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0x010100491CD9D0C8B38942B1D38552F9912594</vt:lpwstr>
  </property>
  <property fmtid="{D5CDD505-2E9C-101B-9397-08002B2CF9AE}" pid="3" name="MediaServiceImageTags">
    <vt:lpwstr/>
  </property>
</Properties>
</file>