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14D2" w14:textId="317B396F" w:rsidR="00166A70" w:rsidRPr="007E2F97" w:rsidRDefault="00247DCC" w:rsidP="00166A70">
      <w:pPr>
        <w:pStyle w:val="Introcopy"/>
        <w:spacing w:after="0"/>
        <w:rPr>
          <w:rFonts w:ascii="Compatil Fact LT Pro" w:hAnsi="Compatil Fact LT Pro"/>
          <w:noProof/>
          <w:color w:val="FFFFFF" w:themeColor="background1"/>
          <w:sz w:val="44"/>
          <w:szCs w:val="44"/>
        </w:rPr>
      </w:pPr>
      <w:r w:rsidRPr="007E2F97">
        <w:rPr>
          <w:rFonts w:ascii="Compatil Fact LT Pro" w:hAnsi="Compatil Fact LT Pro"/>
          <w:noProof/>
          <w:color w:val="FFFFFF" w:themeColor="background1"/>
          <w:sz w:val="44"/>
          <w:szCs w:val="44"/>
        </w:rPr>
        <w:t>MANAGED PORTFOLIOS</w:t>
      </w:r>
    </w:p>
    <w:p w14:paraId="53BEE89A" w14:textId="77777777" w:rsidR="007E2F97" w:rsidRDefault="007E2F97" w:rsidP="00FB583B">
      <w:pPr>
        <w:pStyle w:val="Introcopy"/>
        <w:rPr>
          <w:rFonts w:ascii="Compatil Fact LT Pro" w:hAnsi="Compatil Fact LT Pro"/>
          <w:noProof/>
          <w:color w:val="FFFFFF" w:themeColor="background1"/>
          <w:sz w:val="20"/>
          <w:szCs w:val="20"/>
        </w:rPr>
      </w:pPr>
    </w:p>
    <w:p w14:paraId="62E972E9" w14:textId="626E9218" w:rsidR="00FB583B" w:rsidRPr="00B93268" w:rsidRDefault="00F012E3" w:rsidP="00FB583B">
      <w:pPr>
        <w:pStyle w:val="Introcopy"/>
        <w:rPr>
          <w:rFonts w:ascii="Compatil Fact LT Pro" w:hAnsi="Compatil Fact LT Pro"/>
          <w:noProof/>
          <w:color w:val="FFFFFF" w:themeColor="background1"/>
          <w:sz w:val="40"/>
          <w:szCs w:val="40"/>
        </w:rPr>
      </w:pPr>
      <w:r w:rsidRPr="00B93268">
        <w:rPr>
          <w:rFonts w:ascii="Compatil Fact LT Pro" w:hAnsi="Compatil Fact LT Pro"/>
          <w:noProof/>
          <w:color w:val="FFFFFF" w:themeColor="background1"/>
          <w:sz w:val="20"/>
          <w:szCs w:val="20"/>
        </w:rPr>
        <w:t xml:space="preserve">PORTFOLIO CHANGES: </w:t>
      </w:r>
      <w:r w:rsidR="00A315D4" w:rsidRPr="00B93268">
        <w:rPr>
          <w:rFonts w:ascii="Compatil Fact LT Pro" w:hAnsi="Compatil Fact LT Pro"/>
          <w:noProof/>
          <w:color w:val="FFFFFF" w:themeColor="background1"/>
          <w:sz w:val="20"/>
          <w:szCs w:val="20"/>
        </w:rPr>
        <w:t>FEBRUAR</w:t>
      </w:r>
      <w:r w:rsidR="005668CF" w:rsidRPr="00B93268">
        <w:rPr>
          <w:rFonts w:ascii="Compatil Fact LT Pro" w:hAnsi="Compatil Fact LT Pro"/>
          <w:noProof/>
          <w:color w:val="FFFFFF" w:themeColor="background1"/>
          <w:sz w:val="20"/>
          <w:szCs w:val="20"/>
        </w:rPr>
        <w:t>Y 2024</w:t>
      </w:r>
    </w:p>
    <w:p w14:paraId="2675B526" w14:textId="2C62BA69" w:rsidR="00FB583B" w:rsidRPr="00A05937" w:rsidRDefault="00A05937" w:rsidP="00FB583B">
      <w:pPr>
        <w:pStyle w:val="Introcopy"/>
        <w:rPr>
          <w:rFonts w:ascii="Compatil Fact LT Pro" w:hAnsi="Compatil Fact LT Pro"/>
          <w:b/>
          <w:bCs/>
          <w:noProof/>
        </w:rPr>
      </w:pPr>
      <w:r w:rsidRPr="00A05937">
        <w:rPr>
          <w:rFonts w:ascii="Compatil Fact LT Pro" w:hAnsi="Compatil Fact LT Pro"/>
          <w:b/>
          <w:bCs/>
          <w:noProof/>
        </w:rPr>
        <w:br/>
      </w:r>
    </w:p>
    <w:p w14:paraId="3F560A2B" w14:textId="79D59162" w:rsidR="00C474E8" w:rsidRPr="00A05937" w:rsidRDefault="00C474E8" w:rsidP="00A05937">
      <w:pPr>
        <w:pStyle w:val="Introcopy"/>
        <w:rPr>
          <w:rFonts w:ascii="Compatil Fact LT Pro" w:hAnsi="Compatil Fact LT Pro"/>
        </w:rPr>
        <w:sectPr w:rsidR="00C474E8" w:rsidRPr="00A05937" w:rsidSect="00FB583B">
          <w:headerReference w:type="default" r:id="rId11"/>
          <w:footerReference w:type="default" r:id="rId12"/>
          <w:pgSz w:w="11907" w:h="16840" w:code="9"/>
          <w:pgMar w:top="720" w:right="794" w:bottom="1440" w:left="794" w:header="578" w:footer="578" w:gutter="0"/>
          <w:cols w:space="720"/>
          <w:docGrid w:linePitch="360"/>
        </w:sectPr>
      </w:pPr>
    </w:p>
    <w:p w14:paraId="41052C86" w14:textId="77777777" w:rsidR="00B876F1" w:rsidRDefault="00B876F1" w:rsidP="00F012E3">
      <w:pPr>
        <w:spacing w:after="160" w:line="276" w:lineRule="auto"/>
        <w:ind w:right="0"/>
        <w:rPr>
          <w:rFonts w:ascii="Compatil Fact LT Pro" w:eastAsia="Calibri" w:hAnsi="Compatil Fact LT Pro" w:cstheme="majorHAnsi"/>
          <w:color w:val="auto"/>
          <w:sz w:val="21"/>
          <w:szCs w:val="21"/>
          <w:lang w:val="en-AU"/>
        </w:rPr>
      </w:pPr>
      <w:bookmarkStart w:id="1" w:name="_Hlk106287679"/>
    </w:p>
    <w:p w14:paraId="7122EC29" w14:textId="168680BA" w:rsidR="00F012E3" w:rsidRDefault="00F012E3" w:rsidP="00F012E3">
      <w:pPr>
        <w:spacing w:after="160" w:line="276" w:lineRule="auto"/>
        <w:ind w:right="0"/>
        <w:rPr>
          <w:rFonts w:ascii="Compatil Fact LT Pro" w:eastAsia="Calibri" w:hAnsi="Compatil Fact LT Pro" w:cstheme="majorHAnsi"/>
          <w:color w:val="auto"/>
          <w:sz w:val="21"/>
          <w:szCs w:val="21"/>
          <w:lang w:val="en-AU"/>
        </w:rPr>
      </w:pPr>
      <w:r w:rsidRPr="0072036F">
        <w:rPr>
          <w:rFonts w:ascii="Compatil Fact LT Pro" w:eastAsia="Calibri" w:hAnsi="Compatil Fact LT Pro" w:cstheme="majorHAnsi"/>
          <w:color w:val="auto"/>
          <w:sz w:val="21"/>
          <w:szCs w:val="21"/>
          <w:lang w:val="en-AU"/>
        </w:rPr>
        <w:t>Dear Client,</w:t>
      </w:r>
    </w:p>
    <w:p w14:paraId="733E8DE5" w14:textId="77777777" w:rsidR="00690B77" w:rsidRDefault="00690B77" w:rsidP="00690B77">
      <w:pPr>
        <w:spacing w:after="160" w:line="276" w:lineRule="auto"/>
        <w:ind w:right="0"/>
        <w:rPr>
          <w:rFonts w:ascii="Compatil Fact LT Pro" w:eastAsia="Calibri" w:hAnsi="Compatil Fact LT Pro" w:cstheme="majorHAnsi"/>
          <w:color w:val="auto"/>
          <w:sz w:val="21"/>
          <w:szCs w:val="21"/>
          <w:lang w:val="en-AU"/>
        </w:rPr>
      </w:pPr>
      <w:r w:rsidRPr="00690B77">
        <w:rPr>
          <w:rFonts w:ascii="Compatil Fact LT Pro" w:eastAsia="Calibri" w:hAnsi="Compatil Fact LT Pro" w:cstheme="majorHAnsi"/>
          <w:color w:val="auto"/>
          <w:sz w:val="21"/>
          <w:szCs w:val="21"/>
          <w:lang w:val="en-AU"/>
        </w:rPr>
        <w:t>In this note, we provide an update on recent trade activity and changes to the Russell Investments Managed Portfolios.</w:t>
      </w:r>
    </w:p>
    <w:p w14:paraId="645E926B" w14:textId="77777777" w:rsidR="00690B77" w:rsidRPr="00690B77" w:rsidRDefault="00690B77" w:rsidP="00690B77">
      <w:pPr>
        <w:spacing w:after="160" w:line="276" w:lineRule="auto"/>
        <w:ind w:right="0"/>
        <w:rPr>
          <w:rFonts w:ascii="Compatil Fact LT Pro" w:eastAsia="Calibri" w:hAnsi="Compatil Fact LT Pro" w:cstheme="majorHAnsi"/>
          <w:color w:val="auto"/>
          <w:sz w:val="21"/>
          <w:szCs w:val="21"/>
          <w:lang w:val="en-AU"/>
        </w:rPr>
      </w:pPr>
    </w:p>
    <w:p w14:paraId="41D68021" w14:textId="77777777" w:rsidR="00690B77" w:rsidRPr="00690B77" w:rsidRDefault="00690B77" w:rsidP="00690B77">
      <w:pPr>
        <w:pStyle w:val="Heading1"/>
        <w:spacing w:before="0" w:after="120" w:line="276" w:lineRule="auto"/>
        <w:rPr>
          <w:rFonts w:ascii="Compatil Fact LT Pro" w:hAnsi="Compatil Fact LT Pro"/>
          <w:color w:val="005596" w:themeColor="accent4"/>
          <w:sz w:val="24"/>
          <w:szCs w:val="28"/>
        </w:rPr>
      </w:pPr>
      <w:r w:rsidRPr="00690B77">
        <w:rPr>
          <w:rFonts w:ascii="Compatil Fact LT Pro" w:hAnsi="Compatil Fact LT Pro"/>
          <w:color w:val="005596" w:themeColor="accent4"/>
          <w:sz w:val="24"/>
          <w:szCs w:val="28"/>
        </w:rPr>
        <w:t>Summary of key changes</w:t>
      </w:r>
    </w:p>
    <w:p w14:paraId="5CFE483B" w14:textId="3A7BFA26" w:rsidR="00690B77" w:rsidRPr="00D04F07" w:rsidRDefault="00690B77" w:rsidP="00D04F07">
      <w:pPr>
        <w:pStyle w:val="ListParagraph"/>
        <w:numPr>
          <w:ilvl w:val="0"/>
          <w:numId w:val="26"/>
        </w:numPr>
        <w:spacing w:after="160" w:line="276" w:lineRule="auto"/>
        <w:rPr>
          <w:rFonts w:ascii="Compatil Fact LT Pro" w:eastAsia="Calibri" w:hAnsi="Compatil Fact LT Pro" w:cstheme="majorHAnsi"/>
          <w:sz w:val="21"/>
          <w:szCs w:val="21"/>
        </w:rPr>
      </w:pPr>
      <w:r w:rsidRPr="00D04F07">
        <w:rPr>
          <w:rFonts w:ascii="Compatil Fact LT Pro" w:eastAsia="Calibri" w:hAnsi="Compatil Fact LT Pro" w:cstheme="majorHAnsi"/>
          <w:sz w:val="21"/>
          <w:szCs w:val="21"/>
        </w:rPr>
        <w:t>Rebalanced the direct Australian equity portfolio across all Managed Portfolios as part of the regular review cycle</w:t>
      </w:r>
      <w:r w:rsidR="00D04F07">
        <w:rPr>
          <w:rFonts w:ascii="Compatil Fact LT Pro" w:eastAsia="Calibri" w:hAnsi="Compatil Fact LT Pro" w:cstheme="majorHAnsi"/>
          <w:sz w:val="21"/>
          <w:szCs w:val="21"/>
        </w:rPr>
        <w:t>.</w:t>
      </w:r>
    </w:p>
    <w:p w14:paraId="2225DBE6" w14:textId="77777777" w:rsidR="00690B77" w:rsidRPr="00D04F07" w:rsidRDefault="00690B77" w:rsidP="00D04F07">
      <w:pPr>
        <w:pStyle w:val="ListParagraph"/>
        <w:numPr>
          <w:ilvl w:val="0"/>
          <w:numId w:val="26"/>
        </w:numPr>
        <w:spacing w:after="160" w:line="276" w:lineRule="auto"/>
        <w:rPr>
          <w:rFonts w:ascii="Compatil Fact LT Pro" w:eastAsia="Calibri" w:hAnsi="Compatil Fact LT Pro" w:cstheme="majorHAnsi"/>
          <w:sz w:val="21"/>
          <w:szCs w:val="21"/>
        </w:rPr>
      </w:pPr>
      <w:r w:rsidRPr="00D04F07">
        <w:rPr>
          <w:rFonts w:ascii="Compatil Fact LT Pro" w:eastAsia="Calibri" w:hAnsi="Compatil Fact LT Pro" w:cstheme="majorHAnsi"/>
          <w:sz w:val="21"/>
          <w:szCs w:val="21"/>
        </w:rPr>
        <w:t>Reduced portfolio allocations to Australian equities and global fixed income; increased exposure to cash.</w:t>
      </w:r>
    </w:p>
    <w:p w14:paraId="2171BF94" w14:textId="77777777" w:rsidR="00690B77" w:rsidRPr="00D04F07" w:rsidRDefault="00690B77" w:rsidP="00D04F07">
      <w:pPr>
        <w:pStyle w:val="ListParagraph"/>
        <w:numPr>
          <w:ilvl w:val="0"/>
          <w:numId w:val="26"/>
        </w:numPr>
        <w:spacing w:after="160" w:line="276" w:lineRule="auto"/>
        <w:rPr>
          <w:rFonts w:ascii="Compatil Fact LT Pro" w:eastAsia="Calibri" w:hAnsi="Compatil Fact LT Pro" w:cstheme="majorHAnsi"/>
          <w:sz w:val="21"/>
          <w:szCs w:val="21"/>
        </w:rPr>
      </w:pPr>
      <w:r w:rsidRPr="00D04F07">
        <w:rPr>
          <w:rFonts w:ascii="Compatil Fact LT Pro" w:eastAsia="Calibri" w:hAnsi="Compatil Fact LT Pro" w:cstheme="majorHAnsi"/>
          <w:sz w:val="21"/>
          <w:szCs w:val="21"/>
        </w:rPr>
        <w:t xml:space="preserve">These changes were made to the </w:t>
      </w:r>
      <w:r w:rsidRPr="00D04F07">
        <w:rPr>
          <w:rFonts w:ascii="Compatil Fact LT Pro" w:eastAsia="Calibri" w:hAnsi="Compatil Fact LT Pro" w:cstheme="majorHAnsi"/>
          <w:b/>
          <w:bCs/>
          <w:sz w:val="21"/>
          <w:szCs w:val="21"/>
        </w:rPr>
        <w:t>Russell Investments Managed Portfolio – Balanced</w:t>
      </w:r>
      <w:r w:rsidRPr="00D04F07">
        <w:rPr>
          <w:rFonts w:ascii="Compatil Fact LT Pro" w:eastAsia="Calibri" w:hAnsi="Compatil Fact LT Pro" w:cstheme="majorHAnsi"/>
          <w:sz w:val="21"/>
          <w:szCs w:val="21"/>
        </w:rPr>
        <w:t xml:space="preserve"> and the </w:t>
      </w:r>
      <w:r w:rsidRPr="00D04F07">
        <w:rPr>
          <w:rFonts w:ascii="Compatil Fact LT Pro" w:eastAsia="Calibri" w:hAnsi="Compatil Fact LT Pro" w:cstheme="majorHAnsi"/>
          <w:b/>
          <w:bCs/>
          <w:sz w:val="21"/>
          <w:szCs w:val="21"/>
        </w:rPr>
        <w:t>Russell Investments Managed Portfolio – Growth</w:t>
      </w:r>
      <w:r w:rsidRPr="00D04F07">
        <w:rPr>
          <w:rFonts w:ascii="Compatil Fact LT Pro" w:eastAsia="Calibri" w:hAnsi="Compatil Fact LT Pro" w:cstheme="majorHAnsi"/>
          <w:sz w:val="21"/>
          <w:szCs w:val="21"/>
        </w:rPr>
        <w:t>.</w:t>
      </w:r>
    </w:p>
    <w:p w14:paraId="23CF4D03" w14:textId="77777777" w:rsidR="00690B77" w:rsidRPr="00690B77" w:rsidRDefault="00690B77" w:rsidP="00690B77">
      <w:pPr>
        <w:spacing w:after="160" w:line="276" w:lineRule="auto"/>
        <w:ind w:right="0"/>
        <w:rPr>
          <w:rFonts w:ascii="Compatil Fact LT Pro" w:eastAsia="Calibri" w:hAnsi="Compatil Fact LT Pro" w:cstheme="majorHAnsi"/>
          <w:color w:val="auto"/>
          <w:sz w:val="21"/>
          <w:szCs w:val="21"/>
          <w:lang w:val="en-AU"/>
        </w:rPr>
      </w:pPr>
    </w:p>
    <w:p w14:paraId="62CA2110" w14:textId="77777777" w:rsidR="00690B77" w:rsidRPr="00690B77" w:rsidRDefault="00690B77" w:rsidP="00690B77">
      <w:pPr>
        <w:pStyle w:val="Heading1"/>
        <w:spacing w:before="0" w:after="120" w:line="276" w:lineRule="auto"/>
        <w:rPr>
          <w:rFonts w:ascii="Compatil Fact LT Pro" w:hAnsi="Compatil Fact LT Pro"/>
          <w:color w:val="005596" w:themeColor="accent4"/>
          <w:sz w:val="24"/>
          <w:szCs w:val="28"/>
        </w:rPr>
      </w:pPr>
      <w:r w:rsidRPr="00690B77">
        <w:rPr>
          <w:rFonts w:ascii="Compatil Fact LT Pro" w:hAnsi="Compatil Fact LT Pro"/>
          <w:color w:val="005596" w:themeColor="accent4"/>
          <w:sz w:val="24"/>
          <w:szCs w:val="28"/>
        </w:rPr>
        <w:t>Rationale for portfolio changes</w:t>
      </w:r>
    </w:p>
    <w:p w14:paraId="7F634CC2" w14:textId="77777777" w:rsidR="00690B77" w:rsidRPr="00690B77" w:rsidRDefault="00690B77" w:rsidP="00690B77">
      <w:pPr>
        <w:spacing w:after="160" w:line="276" w:lineRule="auto"/>
        <w:ind w:right="0"/>
        <w:rPr>
          <w:rFonts w:ascii="Compatil Fact LT Pro" w:eastAsia="Calibri" w:hAnsi="Compatil Fact LT Pro" w:cstheme="majorHAnsi"/>
          <w:color w:val="auto"/>
          <w:sz w:val="21"/>
          <w:szCs w:val="21"/>
          <w:lang w:val="en-AU"/>
        </w:rPr>
      </w:pPr>
      <w:r w:rsidRPr="00690B77">
        <w:rPr>
          <w:rFonts w:ascii="Compatil Fact LT Pro" w:eastAsia="Calibri" w:hAnsi="Compatil Fact LT Pro" w:cstheme="majorHAnsi"/>
          <w:color w:val="auto"/>
          <w:sz w:val="21"/>
          <w:szCs w:val="21"/>
          <w:lang w:val="en-AU"/>
        </w:rPr>
        <w:t>We modestly reduced the Portfolios’ allocations to Australian equities and global fixed income in favour of cash.</w:t>
      </w:r>
    </w:p>
    <w:p w14:paraId="1F84A889" w14:textId="77777777" w:rsidR="00690B77" w:rsidRPr="00690B77" w:rsidRDefault="00690B77" w:rsidP="00690B77">
      <w:pPr>
        <w:spacing w:after="160" w:line="276" w:lineRule="auto"/>
        <w:ind w:right="0"/>
        <w:rPr>
          <w:rFonts w:ascii="Compatil Fact LT Pro" w:eastAsia="Calibri" w:hAnsi="Compatil Fact LT Pro" w:cstheme="majorHAnsi"/>
          <w:color w:val="auto"/>
          <w:sz w:val="21"/>
          <w:szCs w:val="21"/>
          <w:lang w:val="en-AU"/>
        </w:rPr>
      </w:pPr>
      <w:r w:rsidRPr="00690B77">
        <w:rPr>
          <w:rFonts w:ascii="Compatil Fact LT Pro" w:eastAsia="Calibri" w:hAnsi="Compatil Fact LT Pro" w:cstheme="majorHAnsi"/>
          <w:color w:val="auto"/>
          <w:sz w:val="21"/>
          <w:szCs w:val="21"/>
          <w:lang w:val="en-AU"/>
        </w:rPr>
        <w:t>We maintain the view that the risk of recession this year remains elevated, which is why we took a prudent approach to reducing higher levels of equities and credit throughout 2023.</w:t>
      </w:r>
    </w:p>
    <w:p w14:paraId="3F426590" w14:textId="77777777" w:rsidR="00690B77" w:rsidRPr="00690B77" w:rsidRDefault="00690B77" w:rsidP="00690B77">
      <w:pPr>
        <w:spacing w:after="160" w:line="276" w:lineRule="auto"/>
        <w:ind w:right="0"/>
        <w:rPr>
          <w:rFonts w:ascii="Compatil Fact LT Pro" w:eastAsia="Calibri" w:hAnsi="Compatil Fact LT Pro" w:cstheme="majorHAnsi"/>
          <w:color w:val="auto"/>
          <w:sz w:val="21"/>
          <w:szCs w:val="21"/>
          <w:lang w:val="en-AU"/>
        </w:rPr>
      </w:pPr>
      <w:r w:rsidRPr="00690B77">
        <w:rPr>
          <w:rFonts w:ascii="Compatil Fact LT Pro" w:eastAsia="Calibri" w:hAnsi="Compatil Fact LT Pro" w:cstheme="majorHAnsi"/>
          <w:color w:val="auto"/>
          <w:sz w:val="21"/>
          <w:szCs w:val="21"/>
          <w:lang w:val="en-AU"/>
        </w:rPr>
        <w:t>The recent, strong run up in Australian equities provided a further opportunity for us to reduce the overall level of risk within the Portfolios, which we achieved via the rebalancing of the direct Australian equity portfolio. We reduced exposure to global fixed income by selling the Vanguard Global Aggregate Bond Index (Hedged) ETF.</w:t>
      </w:r>
    </w:p>
    <w:p w14:paraId="713F1E53" w14:textId="77777777" w:rsidR="00690B77" w:rsidRPr="00690B77" w:rsidRDefault="00690B77" w:rsidP="00690B77">
      <w:pPr>
        <w:spacing w:after="160" w:line="276" w:lineRule="auto"/>
        <w:ind w:right="0"/>
        <w:rPr>
          <w:rFonts w:ascii="Compatil Fact LT Pro" w:eastAsia="Calibri" w:hAnsi="Compatil Fact LT Pro" w:cstheme="majorHAnsi"/>
          <w:color w:val="auto"/>
          <w:sz w:val="21"/>
          <w:szCs w:val="21"/>
          <w:lang w:val="en-AU"/>
        </w:rPr>
      </w:pPr>
      <w:r w:rsidRPr="00690B77">
        <w:rPr>
          <w:rFonts w:ascii="Compatil Fact LT Pro" w:eastAsia="Calibri" w:hAnsi="Compatil Fact LT Pro" w:cstheme="majorHAnsi"/>
          <w:color w:val="auto"/>
          <w:sz w:val="21"/>
          <w:szCs w:val="21"/>
          <w:lang w:val="en-AU"/>
        </w:rPr>
        <w:t>We chose to increase the Portfolios’ allocation to cash due to the current, relatively attractive yield on offer.</w:t>
      </w:r>
    </w:p>
    <w:p w14:paraId="1D7B4E44" w14:textId="77777777" w:rsidR="00690B77" w:rsidRDefault="00690B77" w:rsidP="00690B77">
      <w:pPr>
        <w:spacing w:after="160" w:line="276" w:lineRule="auto"/>
        <w:ind w:right="0"/>
        <w:rPr>
          <w:rFonts w:ascii="Compatil Fact LT Pro" w:eastAsia="Calibri" w:hAnsi="Compatil Fact LT Pro" w:cstheme="majorHAnsi"/>
          <w:color w:val="auto"/>
          <w:sz w:val="21"/>
          <w:szCs w:val="21"/>
          <w:lang w:val="en-AU"/>
        </w:rPr>
      </w:pPr>
      <w:r w:rsidRPr="00690B77">
        <w:rPr>
          <w:rFonts w:ascii="Compatil Fact LT Pro" w:eastAsia="Calibri" w:hAnsi="Compatil Fact LT Pro" w:cstheme="majorHAnsi"/>
          <w:color w:val="auto"/>
          <w:sz w:val="21"/>
          <w:szCs w:val="21"/>
          <w:lang w:val="en-AU"/>
        </w:rPr>
        <w:t>From here, we will likely maintain portfolio positioning via rebalances as the tension between slower growth and easing inflation continues.</w:t>
      </w:r>
    </w:p>
    <w:p w14:paraId="6DDA989C" w14:textId="77777777" w:rsidR="00D04F07" w:rsidRDefault="00D04F07" w:rsidP="00690B77">
      <w:pPr>
        <w:spacing w:after="160" w:line="276" w:lineRule="auto"/>
        <w:ind w:right="0"/>
        <w:rPr>
          <w:rFonts w:ascii="Compatil Fact LT Pro" w:eastAsia="Calibri" w:hAnsi="Compatil Fact LT Pro" w:cstheme="majorHAnsi"/>
          <w:color w:val="auto"/>
          <w:sz w:val="21"/>
          <w:szCs w:val="21"/>
          <w:lang w:val="en-AU"/>
        </w:rPr>
      </w:pPr>
    </w:p>
    <w:p w14:paraId="2B008C93" w14:textId="77777777" w:rsidR="00D04F07" w:rsidRPr="00D04F07" w:rsidRDefault="00D04F07" w:rsidP="00D04F07">
      <w:pPr>
        <w:pStyle w:val="Heading1"/>
        <w:spacing w:before="0" w:after="120" w:line="276" w:lineRule="auto"/>
        <w:rPr>
          <w:rFonts w:ascii="Compatil Fact LT Pro" w:hAnsi="Compatil Fact LT Pro"/>
          <w:color w:val="005596" w:themeColor="accent4"/>
          <w:sz w:val="24"/>
          <w:szCs w:val="28"/>
        </w:rPr>
      </w:pPr>
      <w:r w:rsidRPr="00D04F07">
        <w:rPr>
          <w:rFonts w:ascii="Compatil Fact LT Pro" w:hAnsi="Compatil Fact LT Pro"/>
          <w:color w:val="005596" w:themeColor="accent4"/>
          <w:sz w:val="24"/>
          <w:szCs w:val="28"/>
        </w:rPr>
        <w:t>Specific portfolio changes</w:t>
      </w:r>
    </w:p>
    <w:p w14:paraId="4F1DA9FC" w14:textId="43B29C93" w:rsidR="00D04F07" w:rsidRPr="00D04F07" w:rsidRDefault="00F82D35" w:rsidP="00D04F07">
      <w:pPr>
        <w:spacing w:after="160" w:line="276" w:lineRule="auto"/>
        <w:ind w:right="0"/>
        <w:rPr>
          <w:rFonts w:ascii="Compatil Fact LT Pro" w:eastAsia="Calibri" w:hAnsi="Compatil Fact LT Pro" w:cstheme="majorHAnsi"/>
          <w:b/>
          <w:bCs/>
          <w:color w:val="auto"/>
          <w:sz w:val="21"/>
          <w:szCs w:val="21"/>
          <w:lang w:val="en-AU"/>
        </w:rPr>
      </w:pPr>
      <w:r>
        <w:rPr>
          <w:rFonts w:ascii="Compatil Fact LT Pro" w:eastAsia="Calibri" w:hAnsi="Compatil Fact LT Pro" w:cstheme="majorHAnsi"/>
          <w:b/>
          <w:bCs/>
          <w:color w:val="auto"/>
          <w:sz w:val="21"/>
          <w:szCs w:val="21"/>
          <w:lang w:val="en-AU"/>
        </w:rPr>
        <w:t xml:space="preserve">1. </w:t>
      </w:r>
      <w:r w:rsidR="00D04F07" w:rsidRPr="00D04F07">
        <w:rPr>
          <w:rFonts w:ascii="Compatil Fact LT Pro" w:eastAsia="Calibri" w:hAnsi="Compatil Fact LT Pro" w:cstheme="majorHAnsi"/>
          <w:b/>
          <w:bCs/>
          <w:color w:val="auto"/>
          <w:sz w:val="21"/>
          <w:szCs w:val="21"/>
          <w:lang w:val="en-AU"/>
        </w:rPr>
        <w:t>Direct Australian equity portfolio</w:t>
      </w:r>
    </w:p>
    <w:p w14:paraId="400F066F" w14:textId="77777777" w:rsidR="00D04F07" w:rsidRPr="00D04F07" w:rsidRDefault="00D04F07" w:rsidP="00D04F07">
      <w:pPr>
        <w:spacing w:after="160" w:line="276" w:lineRule="auto"/>
        <w:ind w:right="0"/>
        <w:rPr>
          <w:rFonts w:ascii="Compatil Fact LT Pro" w:eastAsia="Calibri" w:hAnsi="Compatil Fact LT Pro" w:cstheme="majorHAnsi"/>
          <w:color w:val="auto"/>
          <w:sz w:val="21"/>
          <w:szCs w:val="21"/>
          <w:lang w:val="en-AU"/>
        </w:rPr>
      </w:pPr>
      <w:r w:rsidRPr="00D04F07">
        <w:rPr>
          <w:rFonts w:ascii="Compatil Fact LT Pro" w:eastAsia="Calibri" w:hAnsi="Compatil Fact LT Pro" w:cstheme="majorHAnsi"/>
          <w:color w:val="auto"/>
          <w:sz w:val="21"/>
          <w:szCs w:val="21"/>
          <w:lang w:val="en-AU"/>
        </w:rPr>
        <w:t>The direct Australian equity portfolio is rebalanced semi-annually. The purpose of rebalancing is to ensure the portfolio’s holdings are in line with the underlying investment strategy. We do this by buying and/or selling shares.</w:t>
      </w:r>
    </w:p>
    <w:p w14:paraId="1B769AA8" w14:textId="0A99DC24" w:rsidR="00D04F07" w:rsidRDefault="00D04F07" w:rsidP="00D04F07">
      <w:pPr>
        <w:spacing w:after="160" w:line="276" w:lineRule="auto"/>
        <w:ind w:right="0"/>
        <w:rPr>
          <w:rFonts w:ascii="Compatil Fact LT Pro" w:eastAsia="Calibri" w:hAnsi="Compatil Fact LT Pro" w:cstheme="majorHAnsi"/>
          <w:color w:val="auto"/>
          <w:sz w:val="21"/>
          <w:szCs w:val="21"/>
          <w:lang w:val="en-AU"/>
        </w:rPr>
      </w:pPr>
      <w:r w:rsidRPr="00D04F07">
        <w:rPr>
          <w:rFonts w:ascii="Compatil Fact LT Pro" w:eastAsia="Calibri" w:hAnsi="Compatil Fact LT Pro" w:cstheme="majorHAnsi"/>
          <w:color w:val="auto"/>
          <w:sz w:val="21"/>
          <w:szCs w:val="21"/>
          <w:lang w:val="en-AU"/>
        </w:rPr>
        <w:t xml:space="preserve">As part of this latest rebalancing, we bought into the real estate, </w:t>
      </w:r>
      <w:proofErr w:type="gramStart"/>
      <w:r w:rsidRPr="00D04F07">
        <w:rPr>
          <w:rFonts w:ascii="Compatil Fact LT Pro" w:eastAsia="Calibri" w:hAnsi="Compatil Fact LT Pro" w:cstheme="majorHAnsi"/>
          <w:color w:val="auto"/>
          <w:sz w:val="21"/>
          <w:szCs w:val="21"/>
          <w:lang w:val="en-AU"/>
        </w:rPr>
        <w:t>healthcare</w:t>
      </w:r>
      <w:proofErr w:type="gramEnd"/>
      <w:r w:rsidRPr="00D04F07">
        <w:rPr>
          <w:rFonts w:ascii="Compatil Fact LT Pro" w:eastAsia="Calibri" w:hAnsi="Compatil Fact LT Pro" w:cstheme="majorHAnsi"/>
          <w:color w:val="auto"/>
          <w:sz w:val="21"/>
          <w:szCs w:val="21"/>
          <w:lang w:val="en-AU"/>
        </w:rPr>
        <w:t xml:space="preserve"> and communication services sectors, and sold out of financials, energy and utilities. In terms of factor exposure, the portfolio is positioned with overweight to low volatility, quality, </w:t>
      </w:r>
      <w:proofErr w:type="gramStart"/>
      <w:r w:rsidRPr="00D04F07">
        <w:rPr>
          <w:rFonts w:ascii="Compatil Fact LT Pro" w:eastAsia="Calibri" w:hAnsi="Compatil Fact LT Pro" w:cstheme="majorHAnsi"/>
          <w:color w:val="auto"/>
          <w:sz w:val="21"/>
          <w:szCs w:val="21"/>
          <w:lang w:val="en-AU"/>
        </w:rPr>
        <w:t>momentum</w:t>
      </w:r>
      <w:proofErr w:type="gramEnd"/>
      <w:r w:rsidRPr="00D04F07">
        <w:rPr>
          <w:rFonts w:ascii="Compatil Fact LT Pro" w:eastAsia="Calibri" w:hAnsi="Compatil Fact LT Pro" w:cstheme="majorHAnsi"/>
          <w:color w:val="auto"/>
          <w:sz w:val="21"/>
          <w:szCs w:val="21"/>
          <w:lang w:val="en-AU"/>
        </w:rPr>
        <w:t xml:space="preserve"> and value while being underweight growth.</w:t>
      </w:r>
    </w:p>
    <w:p w14:paraId="1E78EC47" w14:textId="38556E6F" w:rsidR="00934420" w:rsidRPr="00934420" w:rsidRDefault="004C0266" w:rsidP="00F82D35">
      <w:pPr>
        <w:spacing w:after="0"/>
        <w:ind w:right="0"/>
        <w:rPr>
          <w:rFonts w:ascii="Compatil Fact LT Pro" w:eastAsia="Calibri" w:hAnsi="Compatil Fact LT Pro" w:cstheme="majorHAnsi"/>
          <w:b/>
          <w:bCs/>
          <w:color w:val="auto"/>
          <w:sz w:val="21"/>
          <w:szCs w:val="21"/>
          <w:lang w:val="en-AU"/>
        </w:rPr>
      </w:pPr>
      <w:r>
        <w:rPr>
          <w:rFonts w:ascii="Compatil Fact LT Pro" w:eastAsia="Calibri" w:hAnsi="Compatil Fact LT Pro" w:cstheme="majorHAnsi"/>
          <w:b/>
          <w:bCs/>
          <w:color w:val="auto"/>
          <w:sz w:val="21"/>
          <w:szCs w:val="21"/>
          <w:lang w:val="en-AU"/>
        </w:rPr>
        <w:br w:type="page"/>
      </w:r>
      <w:r w:rsidR="00934420" w:rsidRPr="00934420">
        <w:rPr>
          <w:rFonts w:ascii="Compatil Fact LT Pro" w:eastAsia="Calibri" w:hAnsi="Compatil Fact LT Pro" w:cstheme="majorHAnsi"/>
          <w:b/>
          <w:bCs/>
          <w:color w:val="auto"/>
          <w:sz w:val="21"/>
          <w:szCs w:val="21"/>
          <w:lang w:val="en-AU"/>
        </w:rPr>
        <w:lastRenderedPageBreak/>
        <w:t>Portfolio rebalancing trades</w:t>
      </w:r>
    </w:p>
    <w:tbl>
      <w:tblPr>
        <w:tblW w:w="10348" w:type="dxa"/>
        <w:tblBorders>
          <w:top w:val="single" w:sz="24"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2284"/>
        <w:gridCol w:w="268"/>
        <w:gridCol w:w="4961"/>
        <w:gridCol w:w="2835"/>
      </w:tblGrid>
      <w:tr w:rsidR="00934420" w:rsidRPr="00934420" w14:paraId="3B987409" w14:textId="77777777" w:rsidTr="00934420">
        <w:trPr>
          <w:trHeight w:val="638"/>
        </w:trPr>
        <w:tc>
          <w:tcPr>
            <w:tcW w:w="2284" w:type="dxa"/>
            <w:tcBorders>
              <w:top w:val="single" w:sz="24" w:space="0" w:color="auto"/>
              <w:bottom w:val="single" w:sz="24" w:space="0" w:color="auto"/>
            </w:tcBorders>
            <w:shd w:val="clear" w:color="auto" w:fill="D9D9D9" w:themeFill="background1" w:themeFillShade="D9"/>
            <w:tcMar>
              <w:top w:w="0" w:type="dxa"/>
              <w:left w:w="108" w:type="dxa"/>
              <w:bottom w:w="0" w:type="dxa"/>
              <w:right w:w="108" w:type="dxa"/>
            </w:tcMar>
            <w:vAlign w:val="center"/>
            <w:hideMark/>
          </w:tcPr>
          <w:p w14:paraId="200D1AFD" w14:textId="77777777" w:rsidR="00934420" w:rsidRPr="00934420" w:rsidRDefault="00934420" w:rsidP="00934420">
            <w:pPr>
              <w:spacing w:after="160" w:line="276" w:lineRule="auto"/>
              <w:ind w:right="0"/>
              <w:rPr>
                <w:rFonts w:ascii="Compatil Fact LT Pro" w:eastAsia="Calibri" w:hAnsi="Compatil Fact LT Pro" w:cstheme="majorHAnsi"/>
                <w:b/>
                <w:bCs/>
                <w:color w:val="auto"/>
                <w:sz w:val="19"/>
                <w:szCs w:val="19"/>
                <w:lang w:val="en-AU"/>
              </w:rPr>
            </w:pPr>
          </w:p>
        </w:tc>
        <w:tc>
          <w:tcPr>
            <w:tcW w:w="268" w:type="dxa"/>
            <w:tcBorders>
              <w:top w:val="single" w:sz="24" w:space="0" w:color="auto"/>
              <w:bottom w:val="single" w:sz="24" w:space="0" w:color="auto"/>
            </w:tcBorders>
            <w:shd w:val="clear" w:color="auto" w:fill="D9D9D9" w:themeFill="background1" w:themeFillShade="D9"/>
            <w:vAlign w:val="center"/>
          </w:tcPr>
          <w:p w14:paraId="31D1226B" w14:textId="77777777" w:rsidR="00934420" w:rsidRPr="00934420" w:rsidRDefault="00934420" w:rsidP="00934420">
            <w:pPr>
              <w:spacing w:after="160" w:line="276" w:lineRule="auto"/>
              <w:ind w:right="0"/>
              <w:rPr>
                <w:rFonts w:ascii="Compatil Fact LT Pro" w:eastAsia="Calibri" w:hAnsi="Compatil Fact LT Pro" w:cstheme="majorHAnsi"/>
                <w:b/>
                <w:bCs/>
                <w:color w:val="auto"/>
                <w:sz w:val="19"/>
                <w:szCs w:val="19"/>
                <w:lang w:val="en-AU"/>
              </w:rPr>
            </w:pPr>
          </w:p>
        </w:tc>
        <w:tc>
          <w:tcPr>
            <w:tcW w:w="4961" w:type="dxa"/>
            <w:tcBorders>
              <w:top w:val="single" w:sz="24" w:space="0" w:color="auto"/>
              <w:bottom w:val="single" w:sz="24" w:space="0" w:color="auto"/>
            </w:tcBorders>
            <w:shd w:val="clear" w:color="auto" w:fill="D9D9D9" w:themeFill="background1" w:themeFillShade="D9"/>
            <w:vAlign w:val="center"/>
          </w:tcPr>
          <w:p w14:paraId="3F2239CA" w14:textId="77777777" w:rsidR="00934420" w:rsidRPr="00934420" w:rsidRDefault="00934420" w:rsidP="00934420">
            <w:pPr>
              <w:spacing w:after="160" w:line="276" w:lineRule="auto"/>
              <w:ind w:right="0"/>
              <w:rPr>
                <w:rFonts w:ascii="Compatil Fact LT Pro" w:eastAsia="Calibri" w:hAnsi="Compatil Fact LT Pro" w:cstheme="majorHAnsi"/>
                <w:b/>
                <w:bCs/>
                <w:color w:val="auto"/>
                <w:sz w:val="19"/>
                <w:szCs w:val="19"/>
                <w:lang w:val="en-AU"/>
              </w:rPr>
            </w:pPr>
            <w:r w:rsidRPr="00934420">
              <w:rPr>
                <w:rFonts w:ascii="Compatil Fact LT Pro" w:eastAsia="Calibri" w:hAnsi="Compatil Fact LT Pro" w:cstheme="majorHAnsi"/>
                <w:b/>
                <w:bCs/>
                <w:color w:val="auto"/>
                <w:sz w:val="19"/>
                <w:szCs w:val="19"/>
                <w:lang w:val="en-AU"/>
              </w:rPr>
              <w:t>COMPANY</w:t>
            </w:r>
          </w:p>
        </w:tc>
        <w:tc>
          <w:tcPr>
            <w:tcW w:w="2835" w:type="dxa"/>
            <w:tcBorders>
              <w:top w:val="single" w:sz="24" w:space="0" w:color="auto"/>
              <w:bottom w:val="single" w:sz="24" w:space="0" w:color="auto"/>
            </w:tcBorders>
            <w:shd w:val="clear" w:color="auto" w:fill="D9D9D9" w:themeFill="background1" w:themeFillShade="D9"/>
            <w:tcMar>
              <w:top w:w="0" w:type="dxa"/>
              <w:left w:w="108" w:type="dxa"/>
              <w:bottom w:w="0" w:type="dxa"/>
              <w:right w:w="108" w:type="dxa"/>
            </w:tcMar>
            <w:vAlign w:val="center"/>
          </w:tcPr>
          <w:p w14:paraId="1F0FC8D6" w14:textId="30AC4D51" w:rsidR="00934420" w:rsidRPr="00934420" w:rsidRDefault="00934420" w:rsidP="00934420">
            <w:pPr>
              <w:spacing w:after="160" w:line="276" w:lineRule="auto"/>
              <w:ind w:right="0"/>
              <w:rPr>
                <w:rFonts w:ascii="Compatil Fact LT Pro" w:eastAsia="Calibri" w:hAnsi="Compatil Fact LT Pro" w:cstheme="majorHAnsi"/>
                <w:b/>
                <w:bCs/>
                <w:color w:val="auto"/>
                <w:sz w:val="19"/>
                <w:szCs w:val="19"/>
                <w:lang w:val="en-AU"/>
              </w:rPr>
            </w:pPr>
            <w:r w:rsidRPr="00934420">
              <w:rPr>
                <w:rFonts w:ascii="Compatil Fact LT Pro" w:eastAsia="Calibri" w:hAnsi="Compatil Fact LT Pro" w:cstheme="majorHAnsi"/>
                <w:b/>
                <w:bCs/>
                <w:color w:val="auto"/>
                <w:sz w:val="19"/>
                <w:szCs w:val="19"/>
                <w:lang w:val="en-AU"/>
              </w:rPr>
              <w:t>WEIGHT</w:t>
            </w:r>
            <w:r w:rsidR="00571BCF">
              <w:rPr>
                <w:rFonts w:ascii="Compatil Fact LT Pro" w:eastAsia="Calibri" w:hAnsi="Compatil Fact LT Pro" w:cstheme="majorHAnsi"/>
                <w:b/>
                <w:bCs/>
                <w:color w:val="auto"/>
                <w:sz w:val="19"/>
                <w:szCs w:val="19"/>
                <w:lang w:val="en-AU"/>
              </w:rPr>
              <w:t xml:space="preserve"> (%)</w:t>
            </w:r>
          </w:p>
        </w:tc>
      </w:tr>
      <w:tr w:rsidR="00934420" w:rsidRPr="00934420" w14:paraId="68BB117C" w14:textId="77777777" w:rsidTr="00934420">
        <w:trPr>
          <w:trHeight w:val="873"/>
        </w:trPr>
        <w:tc>
          <w:tcPr>
            <w:tcW w:w="2284" w:type="dxa"/>
            <w:tcBorders>
              <w:top w:val="single" w:sz="24" w:space="0" w:color="auto"/>
              <w:left w:val="nil"/>
              <w:bottom w:val="single" w:sz="8" w:space="0" w:color="auto"/>
              <w:right w:val="nil"/>
            </w:tcBorders>
            <w:tcMar>
              <w:top w:w="0" w:type="dxa"/>
              <w:left w:w="108" w:type="dxa"/>
              <w:bottom w:w="0" w:type="dxa"/>
              <w:right w:w="108" w:type="dxa"/>
            </w:tcMar>
            <w:hideMark/>
          </w:tcPr>
          <w:p w14:paraId="62A8633F"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Shares purchased</w:t>
            </w:r>
          </w:p>
        </w:tc>
        <w:tc>
          <w:tcPr>
            <w:tcW w:w="268" w:type="dxa"/>
            <w:tcBorders>
              <w:top w:val="single" w:sz="24" w:space="0" w:color="auto"/>
              <w:left w:val="nil"/>
              <w:bottom w:val="single" w:sz="8" w:space="0" w:color="auto"/>
              <w:right w:val="nil"/>
            </w:tcBorders>
            <w:vAlign w:val="center"/>
          </w:tcPr>
          <w:p w14:paraId="70F449E4"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p>
        </w:tc>
        <w:tc>
          <w:tcPr>
            <w:tcW w:w="4961" w:type="dxa"/>
            <w:tcBorders>
              <w:top w:val="single" w:sz="24" w:space="0" w:color="auto"/>
              <w:left w:val="nil"/>
              <w:bottom w:val="single" w:sz="8" w:space="0" w:color="auto"/>
              <w:right w:val="nil"/>
            </w:tcBorders>
            <w:vAlign w:val="center"/>
          </w:tcPr>
          <w:p w14:paraId="66C3A025"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Cleanaway Waste Management</w:t>
            </w:r>
          </w:p>
          <w:p w14:paraId="79E39011"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Bendigo &amp; Adelaide Bank</w:t>
            </w:r>
          </w:p>
          <w:p w14:paraId="2A1ADA35"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Newmont</w:t>
            </w:r>
          </w:p>
          <w:p w14:paraId="6331EACF"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Ansell</w:t>
            </w:r>
          </w:p>
          <w:p w14:paraId="0D09F2F3"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Origin Energy</w:t>
            </w:r>
          </w:p>
          <w:p w14:paraId="51BA0F65"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Fisher &amp; Paykel Healthcare</w:t>
            </w:r>
          </w:p>
          <w:p w14:paraId="69ED7B97"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Ampol</w:t>
            </w:r>
          </w:p>
          <w:p w14:paraId="56AB5141"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Seven Group Holdings</w:t>
            </w:r>
          </w:p>
          <w:p w14:paraId="05591F0E"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Incitec Pivot</w:t>
            </w:r>
          </w:p>
        </w:tc>
        <w:tc>
          <w:tcPr>
            <w:tcW w:w="2835" w:type="dxa"/>
            <w:tcBorders>
              <w:top w:val="single" w:sz="24" w:space="0" w:color="auto"/>
              <w:left w:val="nil"/>
              <w:bottom w:val="single" w:sz="8" w:space="0" w:color="auto"/>
              <w:right w:val="nil"/>
            </w:tcBorders>
            <w:tcMar>
              <w:top w:w="0" w:type="dxa"/>
              <w:left w:w="108" w:type="dxa"/>
              <w:bottom w:w="0" w:type="dxa"/>
              <w:right w:w="108" w:type="dxa"/>
            </w:tcMar>
            <w:vAlign w:val="center"/>
            <w:hideMark/>
          </w:tcPr>
          <w:p w14:paraId="470919E7" w14:textId="5D1EE721"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+1.8</w:t>
            </w:r>
          </w:p>
          <w:p w14:paraId="43338723" w14:textId="0595BA81"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+1.7</w:t>
            </w:r>
          </w:p>
          <w:p w14:paraId="2AD429D9" w14:textId="5C208E59"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+1.5</w:t>
            </w:r>
          </w:p>
          <w:p w14:paraId="28564565" w14:textId="6801E1F8"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+1.5</w:t>
            </w:r>
          </w:p>
          <w:p w14:paraId="10B10C2F" w14:textId="2B46C7AE"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+1.5</w:t>
            </w:r>
          </w:p>
          <w:p w14:paraId="732D2E67" w14:textId="556716DB"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+1.5</w:t>
            </w:r>
          </w:p>
          <w:p w14:paraId="275A22A0" w14:textId="6EE4B5AF"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+1.5</w:t>
            </w:r>
          </w:p>
          <w:p w14:paraId="47EF1BAE" w14:textId="571AEA84"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+1.5</w:t>
            </w:r>
          </w:p>
          <w:p w14:paraId="3B05CDF5" w14:textId="3EA3B22E"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+1.5</w:t>
            </w:r>
          </w:p>
        </w:tc>
      </w:tr>
      <w:tr w:rsidR="00934420" w:rsidRPr="00934420" w14:paraId="5E5B85AE" w14:textId="77777777" w:rsidTr="00934420">
        <w:trPr>
          <w:trHeight w:val="983"/>
        </w:trPr>
        <w:tc>
          <w:tcPr>
            <w:tcW w:w="2284" w:type="dxa"/>
            <w:tcBorders>
              <w:top w:val="single" w:sz="8" w:space="0" w:color="auto"/>
              <w:left w:val="nil"/>
              <w:bottom w:val="single" w:sz="8" w:space="0" w:color="auto"/>
              <w:right w:val="nil"/>
            </w:tcBorders>
            <w:tcMar>
              <w:top w:w="0" w:type="dxa"/>
              <w:left w:w="108" w:type="dxa"/>
              <w:bottom w:w="0" w:type="dxa"/>
              <w:right w:w="108" w:type="dxa"/>
            </w:tcMar>
            <w:hideMark/>
          </w:tcPr>
          <w:p w14:paraId="6B9AA7F2"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Shares sold</w:t>
            </w:r>
          </w:p>
        </w:tc>
        <w:tc>
          <w:tcPr>
            <w:tcW w:w="268" w:type="dxa"/>
            <w:tcBorders>
              <w:top w:val="single" w:sz="8" w:space="0" w:color="auto"/>
              <w:left w:val="nil"/>
              <w:bottom w:val="single" w:sz="8" w:space="0" w:color="auto"/>
              <w:right w:val="nil"/>
            </w:tcBorders>
            <w:vAlign w:val="center"/>
          </w:tcPr>
          <w:p w14:paraId="2729F051"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p>
        </w:tc>
        <w:tc>
          <w:tcPr>
            <w:tcW w:w="4961" w:type="dxa"/>
            <w:tcBorders>
              <w:top w:val="single" w:sz="8" w:space="0" w:color="auto"/>
              <w:left w:val="nil"/>
              <w:bottom w:val="single" w:sz="8" w:space="0" w:color="auto"/>
              <w:right w:val="nil"/>
            </w:tcBorders>
            <w:vAlign w:val="center"/>
          </w:tcPr>
          <w:p w14:paraId="0EF52194"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Cochlear</w:t>
            </w:r>
          </w:p>
          <w:p w14:paraId="6D15EF8C"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Brambles</w:t>
            </w:r>
          </w:p>
          <w:p w14:paraId="7D93C451"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Car Group</w:t>
            </w:r>
          </w:p>
          <w:p w14:paraId="28DF5E60"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South32</w:t>
            </w:r>
          </w:p>
          <w:p w14:paraId="1C344199"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Computershare</w:t>
            </w:r>
          </w:p>
          <w:p w14:paraId="1BC55151"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Sonic Healthcare</w:t>
            </w:r>
          </w:p>
          <w:p w14:paraId="7BCD55E2"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Dexus</w:t>
            </w:r>
          </w:p>
          <w:p w14:paraId="0F64A78E" w14:textId="7777777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Mineral Resources</w:t>
            </w:r>
          </w:p>
        </w:tc>
        <w:tc>
          <w:tcPr>
            <w:tcW w:w="283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37CAE28" w14:textId="28F75B97"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-2.6</w:t>
            </w:r>
          </w:p>
          <w:p w14:paraId="0131F785" w14:textId="34817145"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-2.3</w:t>
            </w:r>
          </w:p>
          <w:p w14:paraId="74F16BA0" w14:textId="64E32D7F"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-2.1</w:t>
            </w:r>
          </w:p>
          <w:p w14:paraId="6CBACFCF" w14:textId="7A553B46"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-1.9</w:t>
            </w:r>
          </w:p>
          <w:p w14:paraId="55C33926" w14:textId="32CFD9FA"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-1.5</w:t>
            </w:r>
          </w:p>
          <w:p w14:paraId="3D7457DF" w14:textId="6AEA14E0"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-1.4</w:t>
            </w:r>
          </w:p>
          <w:p w14:paraId="335BE386" w14:textId="312FB309"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-1.4</w:t>
            </w:r>
          </w:p>
          <w:p w14:paraId="67345987" w14:textId="0DF43C36" w:rsidR="00934420" w:rsidRPr="00934420" w:rsidRDefault="00934420" w:rsidP="00571BCF">
            <w:pPr>
              <w:spacing w:before="60" w:line="276" w:lineRule="auto"/>
              <w:ind w:right="0"/>
              <w:rPr>
                <w:rFonts w:ascii="Compatil Fact LT Pro" w:eastAsia="Calibri" w:hAnsi="Compatil Fact LT Pro" w:cstheme="majorHAnsi"/>
                <w:color w:val="auto"/>
                <w:sz w:val="19"/>
                <w:szCs w:val="19"/>
                <w:lang w:val="en-AU"/>
              </w:rPr>
            </w:pPr>
            <w:r w:rsidRPr="00934420">
              <w:rPr>
                <w:rFonts w:ascii="Compatil Fact LT Pro" w:eastAsia="Calibri" w:hAnsi="Compatil Fact LT Pro" w:cstheme="majorHAnsi"/>
                <w:color w:val="auto"/>
                <w:sz w:val="19"/>
                <w:szCs w:val="19"/>
                <w:lang w:val="en-AU"/>
              </w:rPr>
              <w:t>-1.3</w:t>
            </w:r>
          </w:p>
        </w:tc>
      </w:tr>
    </w:tbl>
    <w:p w14:paraId="782444CA" w14:textId="77777777" w:rsidR="00934420" w:rsidRDefault="00934420" w:rsidP="00934420">
      <w:pPr>
        <w:pStyle w:val="Tablegraphintrocopy"/>
        <w:rPr>
          <w:rFonts w:ascii="Arial" w:hAnsi="Arial" w:cs="Arial"/>
          <w:color w:val="auto"/>
          <w:sz w:val="19"/>
          <w:szCs w:val="19"/>
        </w:rPr>
      </w:pPr>
    </w:p>
    <w:p w14:paraId="3B4B8C5D" w14:textId="73BEB774" w:rsidR="00934420" w:rsidRPr="00F82D35" w:rsidRDefault="00F82D35" w:rsidP="00F82D35">
      <w:pPr>
        <w:spacing w:after="160" w:line="276" w:lineRule="auto"/>
        <w:ind w:right="0"/>
        <w:rPr>
          <w:rFonts w:ascii="Compatil Fact LT Pro" w:eastAsia="Calibri" w:hAnsi="Compatil Fact LT Pro" w:cstheme="majorHAnsi"/>
          <w:b/>
          <w:bCs/>
          <w:color w:val="auto"/>
          <w:sz w:val="21"/>
          <w:szCs w:val="21"/>
          <w:lang w:val="en-AU"/>
        </w:rPr>
      </w:pPr>
      <w:r w:rsidRPr="00F82D35">
        <w:rPr>
          <w:rFonts w:ascii="Compatil Fact LT Pro" w:eastAsia="Calibri" w:hAnsi="Compatil Fact LT Pro" w:cstheme="majorHAnsi"/>
          <w:b/>
          <w:bCs/>
          <w:color w:val="auto"/>
          <w:sz w:val="21"/>
          <w:szCs w:val="21"/>
          <w:lang w:val="en-AU"/>
        </w:rPr>
        <w:t xml:space="preserve">2. </w:t>
      </w:r>
      <w:r w:rsidR="00934420" w:rsidRPr="00F82D35">
        <w:rPr>
          <w:rFonts w:ascii="Compatil Fact LT Pro" w:eastAsia="Calibri" w:hAnsi="Compatil Fact LT Pro" w:cstheme="majorHAnsi"/>
          <w:b/>
          <w:bCs/>
          <w:color w:val="auto"/>
          <w:sz w:val="21"/>
          <w:szCs w:val="21"/>
          <w:lang w:val="en-AU"/>
        </w:rPr>
        <w:t>Changes in asset allocation (%)</w:t>
      </w:r>
    </w:p>
    <w:tbl>
      <w:tblPr>
        <w:tblW w:w="10348" w:type="dxa"/>
        <w:tblBorders>
          <w:top w:val="single" w:sz="24" w:space="0" w:color="auto"/>
          <w:bottom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2410"/>
        <w:gridCol w:w="3969"/>
        <w:gridCol w:w="3969"/>
      </w:tblGrid>
      <w:tr w:rsidR="00934420" w:rsidRPr="004A0554" w14:paraId="26BC39DF" w14:textId="77777777" w:rsidTr="00571BCF">
        <w:trPr>
          <w:trHeight w:val="638"/>
        </w:trPr>
        <w:tc>
          <w:tcPr>
            <w:tcW w:w="2410" w:type="dxa"/>
            <w:tcBorders>
              <w:top w:val="single" w:sz="24" w:space="0" w:color="auto"/>
              <w:bottom w:val="nil"/>
            </w:tcBorders>
            <w:shd w:val="clear" w:color="auto" w:fill="D9D9D9" w:themeFill="background1" w:themeFillShade="D9"/>
            <w:tcMar>
              <w:top w:w="0" w:type="dxa"/>
              <w:left w:w="108" w:type="dxa"/>
              <w:bottom w:w="0" w:type="dxa"/>
              <w:right w:w="108" w:type="dxa"/>
            </w:tcMar>
            <w:vAlign w:val="center"/>
          </w:tcPr>
          <w:p w14:paraId="5C549909" w14:textId="77777777" w:rsidR="00934420" w:rsidRPr="004A0554" w:rsidRDefault="00934420" w:rsidP="00F82D35">
            <w:pPr>
              <w:spacing w:before="60" w:line="276" w:lineRule="auto"/>
              <w:ind w:right="0"/>
              <w:rPr>
                <w:rFonts w:ascii="Compatil Fact LT Pro" w:eastAsia="Calibri" w:hAnsi="Compatil Fact LT Pro" w:cstheme="majorHAnsi"/>
                <w:b/>
                <w:bCs/>
                <w:color w:val="auto"/>
                <w:sz w:val="19"/>
                <w:szCs w:val="19"/>
                <w:lang w:val="en-AU"/>
              </w:rPr>
            </w:pPr>
            <w:r w:rsidRPr="004A0554">
              <w:rPr>
                <w:rFonts w:ascii="Compatil Fact LT Pro" w:eastAsia="Calibri" w:hAnsi="Compatil Fact LT Pro" w:cstheme="majorHAnsi"/>
                <w:b/>
                <w:bCs/>
                <w:color w:val="auto"/>
                <w:sz w:val="19"/>
                <w:szCs w:val="19"/>
                <w:lang w:val="en-AU"/>
              </w:rPr>
              <w:t>ASSET CLASS</w:t>
            </w:r>
          </w:p>
        </w:tc>
        <w:tc>
          <w:tcPr>
            <w:tcW w:w="7938" w:type="dxa"/>
            <w:gridSpan w:val="2"/>
            <w:tcBorders>
              <w:top w:val="single" w:sz="24" w:space="0" w:color="auto"/>
              <w:bottom w:val="single" w:sz="2" w:space="0" w:color="auto"/>
            </w:tcBorders>
            <w:shd w:val="clear" w:color="auto" w:fill="D9D9D9" w:themeFill="background1" w:themeFillShade="D9"/>
            <w:tcMar>
              <w:top w:w="0" w:type="dxa"/>
              <w:left w:w="108" w:type="dxa"/>
              <w:bottom w:w="0" w:type="dxa"/>
              <w:right w:w="108" w:type="dxa"/>
            </w:tcMar>
            <w:vAlign w:val="center"/>
          </w:tcPr>
          <w:p w14:paraId="347FD286" w14:textId="77777777" w:rsidR="00934420" w:rsidRPr="004A0554" w:rsidRDefault="00934420" w:rsidP="00F82D35">
            <w:pPr>
              <w:spacing w:before="60" w:line="276" w:lineRule="auto"/>
              <w:ind w:right="0"/>
              <w:jc w:val="center"/>
              <w:rPr>
                <w:rFonts w:ascii="Compatil Fact LT Pro" w:eastAsia="Calibri" w:hAnsi="Compatil Fact LT Pro" w:cstheme="majorHAnsi"/>
                <w:b/>
                <w:bCs/>
                <w:color w:val="auto"/>
                <w:sz w:val="19"/>
                <w:szCs w:val="19"/>
                <w:lang w:val="en-AU"/>
              </w:rPr>
            </w:pPr>
            <w:r w:rsidRPr="004A0554">
              <w:rPr>
                <w:rFonts w:ascii="Compatil Fact LT Pro" w:eastAsia="Calibri" w:hAnsi="Compatil Fact LT Pro" w:cstheme="majorHAnsi"/>
                <w:b/>
                <w:bCs/>
                <w:color w:val="auto"/>
                <w:sz w:val="19"/>
                <w:szCs w:val="19"/>
                <w:lang w:val="en-AU"/>
              </w:rPr>
              <w:t>RISK PROFILE</w:t>
            </w:r>
          </w:p>
        </w:tc>
      </w:tr>
      <w:tr w:rsidR="00F82D35" w:rsidRPr="004A0554" w14:paraId="11DFB06F" w14:textId="77777777" w:rsidTr="00571BCF">
        <w:trPr>
          <w:trHeight w:val="638"/>
        </w:trPr>
        <w:tc>
          <w:tcPr>
            <w:tcW w:w="2410" w:type="dxa"/>
            <w:tcBorders>
              <w:top w:val="nil"/>
              <w:bottom w:val="single" w:sz="24" w:space="0" w:color="auto"/>
            </w:tcBorders>
            <w:shd w:val="clear" w:color="auto" w:fill="D9D9D9" w:themeFill="background1" w:themeFillShade="D9"/>
            <w:tcMar>
              <w:top w:w="0" w:type="dxa"/>
              <w:left w:w="108" w:type="dxa"/>
              <w:bottom w:w="0" w:type="dxa"/>
              <w:right w:w="108" w:type="dxa"/>
            </w:tcMar>
            <w:hideMark/>
          </w:tcPr>
          <w:p w14:paraId="1E04D5AA" w14:textId="77777777" w:rsidR="00F82D35" w:rsidRPr="004A0554" w:rsidRDefault="00F82D35" w:rsidP="00F82D35">
            <w:pPr>
              <w:spacing w:before="60" w:line="276" w:lineRule="auto"/>
              <w:ind w:right="0"/>
              <w:rPr>
                <w:rFonts w:ascii="Compatil Fact LT Pro" w:eastAsia="Calibri" w:hAnsi="Compatil Fact LT Pro" w:cstheme="majorHAnsi"/>
                <w:b/>
                <w:bCs/>
                <w:color w:val="auto"/>
                <w:sz w:val="19"/>
                <w:szCs w:val="19"/>
                <w:lang w:val="en-AU"/>
              </w:rPr>
            </w:pPr>
          </w:p>
        </w:tc>
        <w:tc>
          <w:tcPr>
            <w:tcW w:w="3969" w:type="dxa"/>
            <w:tcBorders>
              <w:top w:val="single" w:sz="2" w:space="0" w:color="auto"/>
              <w:bottom w:val="single" w:sz="24" w:space="0" w:color="auto"/>
            </w:tcBorders>
            <w:shd w:val="clear" w:color="auto" w:fill="D9D9D9" w:themeFill="background1" w:themeFillShade="D9"/>
            <w:tcMar>
              <w:top w:w="0" w:type="dxa"/>
              <w:left w:w="108" w:type="dxa"/>
              <w:bottom w:w="0" w:type="dxa"/>
              <w:right w:w="108" w:type="dxa"/>
            </w:tcMar>
          </w:tcPr>
          <w:p w14:paraId="3D2B1AEC" w14:textId="772DC051" w:rsidR="00F82D35" w:rsidRPr="004A0554" w:rsidRDefault="00F82D35" w:rsidP="00F82D35">
            <w:pPr>
              <w:spacing w:before="60" w:line="276" w:lineRule="auto"/>
              <w:ind w:right="0"/>
              <w:jc w:val="center"/>
              <w:rPr>
                <w:rFonts w:ascii="Compatil Fact LT Pro" w:eastAsia="Calibri" w:hAnsi="Compatil Fact LT Pro" w:cstheme="majorHAnsi"/>
                <w:b/>
                <w:bCs/>
                <w:color w:val="auto"/>
                <w:sz w:val="19"/>
                <w:szCs w:val="19"/>
                <w:lang w:val="en-AU"/>
              </w:rPr>
            </w:pPr>
            <w:r w:rsidRPr="004A0554">
              <w:rPr>
                <w:rFonts w:ascii="Compatil Fact LT Pro" w:eastAsia="Calibri" w:hAnsi="Compatil Fact LT Pro" w:cstheme="majorHAnsi"/>
                <w:b/>
                <w:bCs/>
                <w:color w:val="auto"/>
                <w:sz w:val="19"/>
                <w:szCs w:val="19"/>
                <w:lang w:val="en-AU"/>
              </w:rPr>
              <w:t>BALANCED</w:t>
            </w:r>
          </w:p>
        </w:tc>
        <w:tc>
          <w:tcPr>
            <w:tcW w:w="3969" w:type="dxa"/>
            <w:tcBorders>
              <w:top w:val="single" w:sz="2" w:space="0" w:color="auto"/>
              <w:bottom w:val="single" w:sz="24" w:space="0" w:color="auto"/>
            </w:tcBorders>
            <w:shd w:val="clear" w:color="auto" w:fill="D9D9D9" w:themeFill="background1" w:themeFillShade="D9"/>
          </w:tcPr>
          <w:p w14:paraId="736C03EE" w14:textId="2E4EAD05" w:rsidR="00F82D35" w:rsidRPr="004A0554" w:rsidRDefault="00F82D35" w:rsidP="00F82D35">
            <w:pPr>
              <w:spacing w:before="60" w:line="276" w:lineRule="auto"/>
              <w:ind w:right="0"/>
              <w:jc w:val="center"/>
              <w:rPr>
                <w:rFonts w:ascii="Compatil Fact LT Pro" w:eastAsia="Calibri" w:hAnsi="Compatil Fact LT Pro" w:cstheme="majorHAnsi"/>
                <w:b/>
                <w:bCs/>
                <w:color w:val="auto"/>
                <w:sz w:val="19"/>
                <w:szCs w:val="19"/>
                <w:lang w:val="en-AU"/>
              </w:rPr>
            </w:pPr>
            <w:r w:rsidRPr="004A0554">
              <w:rPr>
                <w:rFonts w:ascii="Compatil Fact LT Pro" w:eastAsia="Calibri" w:hAnsi="Compatil Fact LT Pro" w:cstheme="majorHAnsi"/>
                <w:b/>
                <w:bCs/>
                <w:color w:val="auto"/>
                <w:sz w:val="19"/>
                <w:szCs w:val="19"/>
                <w:lang w:val="en-AU"/>
              </w:rPr>
              <w:t>GROWTH</w:t>
            </w:r>
          </w:p>
        </w:tc>
      </w:tr>
      <w:tr w:rsidR="00F82D35" w:rsidRPr="004A0554" w14:paraId="138043F8" w14:textId="77777777" w:rsidTr="00571BCF">
        <w:trPr>
          <w:trHeight w:val="914"/>
        </w:trPr>
        <w:tc>
          <w:tcPr>
            <w:tcW w:w="2410" w:type="dxa"/>
            <w:tcBorders>
              <w:top w:val="single" w:sz="8" w:space="0" w:color="auto"/>
              <w:left w:val="nil"/>
              <w:bottom w:val="single" w:sz="8" w:space="0" w:color="auto"/>
              <w:right w:val="nil"/>
            </w:tcBorders>
            <w:tcMar>
              <w:top w:w="0" w:type="dxa"/>
              <w:left w:w="108" w:type="dxa"/>
              <w:bottom w:w="0" w:type="dxa"/>
              <w:right w:w="108" w:type="dxa"/>
            </w:tcMar>
            <w:vAlign w:val="center"/>
          </w:tcPr>
          <w:p w14:paraId="4D804640" w14:textId="77777777" w:rsidR="00F82D35" w:rsidRPr="004A0554" w:rsidRDefault="00F82D35" w:rsidP="00F82D35">
            <w:pPr>
              <w:spacing w:before="60" w:line="276" w:lineRule="auto"/>
              <w:ind w:right="0"/>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Australian equities</w:t>
            </w:r>
          </w:p>
          <w:p w14:paraId="4D13DA5E" w14:textId="77777777" w:rsidR="00F82D35" w:rsidRPr="004A0554" w:rsidRDefault="00F82D35" w:rsidP="00F82D35">
            <w:pPr>
              <w:spacing w:before="60" w:line="276" w:lineRule="auto"/>
              <w:ind w:right="0"/>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(Reduced)</w:t>
            </w:r>
          </w:p>
        </w:tc>
        <w:tc>
          <w:tcPr>
            <w:tcW w:w="3969" w:type="dxa"/>
            <w:tcBorders>
              <w:top w:val="single" w:sz="8" w:space="0" w:color="auto"/>
              <w:left w:val="nil"/>
              <w:bottom w:val="single" w:sz="8" w:space="0" w:color="auto"/>
            </w:tcBorders>
            <w:tcMar>
              <w:top w:w="0" w:type="dxa"/>
              <w:left w:w="108" w:type="dxa"/>
              <w:bottom w:w="0" w:type="dxa"/>
              <w:right w:w="108" w:type="dxa"/>
            </w:tcMar>
            <w:vAlign w:val="center"/>
          </w:tcPr>
          <w:p w14:paraId="0207D247" w14:textId="77777777" w:rsidR="00F82D35" w:rsidRPr="004A0554" w:rsidRDefault="00F82D35" w:rsidP="00F82D35">
            <w:pPr>
              <w:spacing w:before="60" w:line="276" w:lineRule="auto"/>
              <w:ind w:right="0"/>
              <w:jc w:val="center"/>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-1.0</w:t>
            </w:r>
          </w:p>
        </w:tc>
        <w:tc>
          <w:tcPr>
            <w:tcW w:w="3969" w:type="dxa"/>
            <w:tcBorders>
              <w:top w:val="single" w:sz="8" w:space="0" w:color="auto"/>
              <w:bottom w:val="single" w:sz="8" w:space="0" w:color="auto"/>
            </w:tcBorders>
            <w:vAlign w:val="center"/>
          </w:tcPr>
          <w:p w14:paraId="48DE4EC2" w14:textId="0CB0C7A6" w:rsidR="00F82D35" w:rsidRPr="004A0554" w:rsidRDefault="00F82D35" w:rsidP="00F82D35">
            <w:pPr>
              <w:spacing w:before="60" w:line="276" w:lineRule="auto"/>
              <w:ind w:right="0"/>
              <w:jc w:val="center"/>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-1.0</w:t>
            </w:r>
          </w:p>
        </w:tc>
      </w:tr>
      <w:tr w:rsidR="00F82D35" w:rsidRPr="004A0554" w14:paraId="7D83CA93" w14:textId="77777777" w:rsidTr="00571BCF">
        <w:trPr>
          <w:trHeight w:val="825"/>
        </w:trPr>
        <w:tc>
          <w:tcPr>
            <w:tcW w:w="2410" w:type="dxa"/>
            <w:tcBorders>
              <w:top w:val="single" w:sz="8" w:space="0" w:color="auto"/>
              <w:left w:val="nil"/>
              <w:bottom w:val="single" w:sz="8" w:space="0" w:color="auto"/>
              <w:right w:val="nil"/>
            </w:tcBorders>
            <w:tcMar>
              <w:top w:w="0" w:type="dxa"/>
              <w:left w:w="108" w:type="dxa"/>
              <w:bottom w:w="0" w:type="dxa"/>
              <w:right w:w="108" w:type="dxa"/>
            </w:tcMar>
            <w:vAlign w:val="center"/>
          </w:tcPr>
          <w:p w14:paraId="3ABC2C41" w14:textId="77777777" w:rsidR="00F82D35" w:rsidRPr="004A0554" w:rsidRDefault="00F82D35" w:rsidP="00F82D35">
            <w:pPr>
              <w:spacing w:before="60" w:line="276" w:lineRule="auto"/>
              <w:ind w:right="0"/>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Global fixed income</w:t>
            </w:r>
          </w:p>
          <w:p w14:paraId="5FFA8510" w14:textId="77777777" w:rsidR="00F82D35" w:rsidRPr="004A0554" w:rsidRDefault="00F82D35" w:rsidP="00F82D35">
            <w:pPr>
              <w:spacing w:before="60" w:line="276" w:lineRule="auto"/>
              <w:ind w:right="0"/>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(Reduced)</w:t>
            </w:r>
          </w:p>
        </w:tc>
        <w:tc>
          <w:tcPr>
            <w:tcW w:w="3969" w:type="dxa"/>
            <w:tcBorders>
              <w:top w:val="single" w:sz="8" w:space="0" w:color="auto"/>
              <w:left w:val="nil"/>
              <w:bottom w:val="single" w:sz="8" w:space="0" w:color="auto"/>
            </w:tcBorders>
            <w:tcMar>
              <w:top w:w="0" w:type="dxa"/>
              <w:left w:w="108" w:type="dxa"/>
              <w:bottom w:w="0" w:type="dxa"/>
              <w:right w:w="108" w:type="dxa"/>
            </w:tcMar>
            <w:vAlign w:val="center"/>
          </w:tcPr>
          <w:p w14:paraId="78A495EE" w14:textId="77777777" w:rsidR="00F82D35" w:rsidRPr="004A0554" w:rsidRDefault="00F82D35" w:rsidP="00F82D35">
            <w:pPr>
              <w:spacing w:before="60" w:line="276" w:lineRule="auto"/>
              <w:ind w:right="0"/>
              <w:jc w:val="center"/>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-1.0</w:t>
            </w:r>
          </w:p>
        </w:tc>
        <w:tc>
          <w:tcPr>
            <w:tcW w:w="3969" w:type="dxa"/>
            <w:tcBorders>
              <w:top w:val="single" w:sz="8" w:space="0" w:color="auto"/>
              <w:bottom w:val="single" w:sz="8" w:space="0" w:color="auto"/>
            </w:tcBorders>
            <w:vAlign w:val="center"/>
          </w:tcPr>
          <w:p w14:paraId="5ED070C9" w14:textId="1D4F4AC8" w:rsidR="00F82D35" w:rsidRPr="004A0554" w:rsidRDefault="00F82D35" w:rsidP="00F82D35">
            <w:pPr>
              <w:spacing w:before="60" w:line="276" w:lineRule="auto"/>
              <w:ind w:right="0"/>
              <w:jc w:val="center"/>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-0.9</w:t>
            </w:r>
          </w:p>
        </w:tc>
      </w:tr>
      <w:tr w:rsidR="00F82D35" w:rsidRPr="004A0554" w14:paraId="151CAD68" w14:textId="77777777" w:rsidTr="00571BCF">
        <w:trPr>
          <w:trHeight w:val="754"/>
        </w:trPr>
        <w:tc>
          <w:tcPr>
            <w:tcW w:w="2410" w:type="dxa"/>
            <w:tcBorders>
              <w:top w:val="single" w:sz="8" w:space="0" w:color="auto"/>
              <w:left w:val="nil"/>
              <w:bottom w:val="single" w:sz="8" w:space="0" w:color="auto"/>
              <w:right w:val="nil"/>
            </w:tcBorders>
            <w:tcMar>
              <w:top w:w="0" w:type="dxa"/>
              <w:left w:w="108" w:type="dxa"/>
              <w:bottom w:w="0" w:type="dxa"/>
              <w:right w:w="108" w:type="dxa"/>
            </w:tcMar>
            <w:vAlign w:val="center"/>
          </w:tcPr>
          <w:p w14:paraId="43FF5766" w14:textId="77777777" w:rsidR="00F82D35" w:rsidRPr="004A0554" w:rsidRDefault="00F82D35" w:rsidP="00F82D35">
            <w:pPr>
              <w:spacing w:before="60" w:line="276" w:lineRule="auto"/>
              <w:ind w:right="0"/>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Cash</w:t>
            </w:r>
          </w:p>
          <w:p w14:paraId="35C8B068" w14:textId="77777777" w:rsidR="00F82D35" w:rsidRPr="004A0554" w:rsidRDefault="00F82D35" w:rsidP="00F82D35">
            <w:pPr>
              <w:spacing w:before="60" w:line="276" w:lineRule="auto"/>
              <w:ind w:right="0"/>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(Added)</w:t>
            </w:r>
          </w:p>
        </w:tc>
        <w:tc>
          <w:tcPr>
            <w:tcW w:w="3969" w:type="dxa"/>
            <w:tcBorders>
              <w:top w:val="single" w:sz="8" w:space="0" w:color="auto"/>
              <w:left w:val="nil"/>
              <w:bottom w:val="single" w:sz="8" w:space="0" w:color="auto"/>
            </w:tcBorders>
            <w:tcMar>
              <w:top w:w="0" w:type="dxa"/>
              <w:left w:w="108" w:type="dxa"/>
              <w:bottom w:w="0" w:type="dxa"/>
              <w:right w:w="108" w:type="dxa"/>
            </w:tcMar>
            <w:vAlign w:val="center"/>
          </w:tcPr>
          <w:p w14:paraId="258A74A7" w14:textId="77777777" w:rsidR="00F82D35" w:rsidRPr="004A0554" w:rsidRDefault="00F82D35" w:rsidP="00F82D35">
            <w:pPr>
              <w:spacing w:before="60" w:line="276" w:lineRule="auto"/>
              <w:ind w:right="0"/>
              <w:jc w:val="center"/>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+2.0</w:t>
            </w:r>
          </w:p>
        </w:tc>
        <w:tc>
          <w:tcPr>
            <w:tcW w:w="3969" w:type="dxa"/>
            <w:tcBorders>
              <w:top w:val="single" w:sz="8" w:space="0" w:color="auto"/>
              <w:bottom w:val="single" w:sz="8" w:space="0" w:color="auto"/>
            </w:tcBorders>
            <w:vAlign w:val="center"/>
          </w:tcPr>
          <w:p w14:paraId="2365D803" w14:textId="729DB134" w:rsidR="00F82D35" w:rsidRPr="004A0554" w:rsidRDefault="00F82D35" w:rsidP="00F82D35">
            <w:pPr>
              <w:spacing w:before="60" w:line="276" w:lineRule="auto"/>
              <w:ind w:right="0"/>
              <w:jc w:val="center"/>
              <w:rPr>
                <w:rFonts w:ascii="Compatil Fact LT Pro" w:eastAsia="Calibri" w:hAnsi="Compatil Fact LT Pro" w:cstheme="majorHAnsi"/>
                <w:color w:val="auto"/>
                <w:sz w:val="19"/>
                <w:szCs w:val="19"/>
                <w:lang w:val="en-AU"/>
              </w:rPr>
            </w:pPr>
            <w:r w:rsidRPr="004A0554">
              <w:rPr>
                <w:rFonts w:ascii="Compatil Fact LT Pro" w:eastAsia="Calibri" w:hAnsi="Compatil Fact LT Pro" w:cstheme="majorHAnsi"/>
                <w:color w:val="auto"/>
                <w:sz w:val="19"/>
                <w:szCs w:val="19"/>
                <w:lang w:val="en-AU"/>
              </w:rPr>
              <w:t>+1.9</w:t>
            </w:r>
          </w:p>
        </w:tc>
      </w:tr>
    </w:tbl>
    <w:p w14:paraId="083518BF" w14:textId="77777777" w:rsidR="00934420" w:rsidRDefault="00934420" w:rsidP="00934420">
      <w:pPr>
        <w:pStyle w:val="Tablegraphintrocopy"/>
        <w:rPr>
          <w:rFonts w:ascii="Arial" w:hAnsi="Arial" w:cs="Arial"/>
          <w:color w:val="auto"/>
          <w:sz w:val="19"/>
          <w:szCs w:val="19"/>
        </w:rPr>
      </w:pPr>
    </w:p>
    <w:p w14:paraId="61A1FD22" w14:textId="77777777" w:rsidR="00934420" w:rsidRPr="00D04F07" w:rsidRDefault="00934420" w:rsidP="00D04F07">
      <w:pPr>
        <w:spacing w:after="160" w:line="276" w:lineRule="auto"/>
        <w:ind w:right="0"/>
        <w:rPr>
          <w:rFonts w:ascii="Compatil Fact LT Pro" w:eastAsia="Calibri" w:hAnsi="Compatil Fact LT Pro" w:cstheme="majorHAnsi"/>
          <w:color w:val="auto"/>
          <w:sz w:val="21"/>
          <w:szCs w:val="21"/>
          <w:lang w:val="en-AU"/>
        </w:rPr>
      </w:pPr>
    </w:p>
    <w:p w14:paraId="2BD233DA" w14:textId="77777777" w:rsidR="004A0554" w:rsidRDefault="004A0554" w:rsidP="004A0554">
      <w:pPr>
        <w:pStyle w:val="Heading1"/>
        <w:spacing w:before="0" w:line="276" w:lineRule="auto"/>
        <w:rPr>
          <w:rFonts w:ascii="Arial" w:hAnsi="Arial" w:cs="Arial"/>
          <w:color w:val="005596" w:themeColor="accent4"/>
          <w:sz w:val="19"/>
          <w:szCs w:val="19"/>
        </w:rPr>
      </w:pPr>
      <w:r w:rsidRPr="007068B6">
        <w:rPr>
          <w:rFonts w:ascii="Arial" w:hAnsi="Arial" w:cs="Arial"/>
          <w:color w:val="005596" w:themeColor="accent4"/>
          <w:sz w:val="19"/>
          <w:szCs w:val="19"/>
        </w:rPr>
        <w:lastRenderedPageBreak/>
        <w:t>Final asset class after these changes (%)</w:t>
      </w:r>
      <w:r>
        <w:rPr>
          <w:rStyle w:val="FootnoteReference"/>
          <w:rFonts w:ascii="Arial" w:hAnsi="Arial" w:cs="Arial"/>
          <w:color w:val="005596" w:themeColor="accent4"/>
          <w:sz w:val="19"/>
          <w:szCs w:val="19"/>
        </w:rPr>
        <w:footnoteReference w:id="1"/>
      </w:r>
    </w:p>
    <w:tbl>
      <w:tblPr>
        <w:tblW w:w="9781" w:type="dxa"/>
        <w:tblBorders>
          <w:top w:val="single" w:sz="24" w:space="0" w:color="auto"/>
          <w:bottom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1701"/>
        <w:gridCol w:w="1560"/>
        <w:gridCol w:w="1039"/>
        <w:gridCol w:w="1370"/>
        <w:gridCol w:w="1370"/>
        <w:gridCol w:w="1370"/>
        <w:gridCol w:w="1371"/>
      </w:tblGrid>
      <w:tr w:rsidR="004A0554" w:rsidRPr="00143C2F" w14:paraId="2FDA4479" w14:textId="77777777" w:rsidTr="00143C2F">
        <w:trPr>
          <w:trHeight w:val="638"/>
        </w:trPr>
        <w:tc>
          <w:tcPr>
            <w:tcW w:w="1701" w:type="dxa"/>
            <w:tcBorders>
              <w:top w:val="single" w:sz="24" w:space="0" w:color="auto"/>
              <w:bottom w:val="nil"/>
            </w:tcBorders>
            <w:shd w:val="clear" w:color="auto" w:fill="D9D9D9" w:themeFill="background1" w:themeFillShade="D9"/>
            <w:tcMar>
              <w:top w:w="0" w:type="dxa"/>
              <w:left w:w="108" w:type="dxa"/>
              <w:bottom w:w="0" w:type="dxa"/>
              <w:right w:w="108" w:type="dxa"/>
            </w:tcMar>
          </w:tcPr>
          <w:p w14:paraId="3A1BEA18" w14:textId="77777777" w:rsidR="004A0554" w:rsidRPr="00143C2F" w:rsidRDefault="004A0554" w:rsidP="00F82D35">
            <w:pPr>
              <w:spacing w:beforeLines="60" w:before="144" w:afterLines="60" w:after="144" w:line="276" w:lineRule="auto"/>
              <w:ind w:right="0"/>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ASSET CLASS</w:t>
            </w:r>
          </w:p>
        </w:tc>
        <w:tc>
          <w:tcPr>
            <w:tcW w:w="8080" w:type="dxa"/>
            <w:gridSpan w:val="6"/>
            <w:tcBorders>
              <w:top w:val="single" w:sz="24" w:space="0" w:color="auto"/>
              <w:bottom w:val="single" w:sz="2" w:space="0" w:color="auto"/>
            </w:tcBorders>
            <w:shd w:val="clear" w:color="auto" w:fill="D9D9D9" w:themeFill="background1" w:themeFillShade="D9"/>
            <w:tcMar>
              <w:top w:w="0" w:type="dxa"/>
              <w:left w:w="108" w:type="dxa"/>
              <w:bottom w:w="0" w:type="dxa"/>
              <w:right w:w="108" w:type="dxa"/>
            </w:tcMar>
          </w:tcPr>
          <w:p w14:paraId="5BF06186" w14:textId="77777777" w:rsidR="004A0554" w:rsidRPr="00143C2F" w:rsidRDefault="004A0554"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RISK PROFILE</w:t>
            </w:r>
          </w:p>
        </w:tc>
      </w:tr>
      <w:tr w:rsidR="004A0554" w:rsidRPr="00143C2F" w14:paraId="0EAD1D1E" w14:textId="77777777" w:rsidTr="00143C2F">
        <w:trPr>
          <w:trHeight w:val="638"/>
        </w:trPr>
        <w:tc>
          <w:tcPr>
            <w:tcW w:w="1701" w:type="dxa"/>
            <w:tcBorders>
              <w:top w:val="nil"/>
              <w:bottom w:val="single" w:sz="24" w:space="0" w:color="auto"/>
            </w:tcBorders>
            <w:shd w:val="clear" w:color="auto" w:fill="D9D9D9" w:themeFill="background1" w:themeFillShade="D9"/>
            <w:tcMar>
              <w:top w:w="0" w:type="dxa"/>
              <w:left w:w="108" w:type="dxa"/>
              <w:bottom w:w="0" w:type="dxa"/>
              <w:right w:w="108" w:type="dxa"/>
            </w:tcMar>
            <w:hideMark/>
          </w:tcPr>
          <w:p w14:paraId="638193EC" w14:textId="77777777" w:rsidR="004A0554" w:rsidRPr="00143C2F" w:rsidRDefault="004A0554" w:rsidP="00F82D35">
            <w:pPr>
              <w:spacing w:beforeLines="60" w:before="144" w:afterLines="60" w:after="144" w:line="276" w:lineRule="auto"/>
              <w:ind w:right="0"/>
              <w:rPr>
                <w:rFonts w:ascii="Compatil Fact LT Pro" w:eastAsia="Calibri" w:hAnsi="Compatil Fact LT Pro" w:cstheme="majorHAnsi"/>
                <w:b/>
                <w:bCs/>
                <w:color w:val="auto"/>
                <w:sz w:val="19"/>
                <w:szCs w:val="19"/>
                <w:lang w:val="en-AU"/>
              </w:rPr>
            </w:pPr>
          </w:p>
        </w:tc>
        <w:tc>
          <w:tcPr>
            <w:tcW w:w="1560" w:type="dxa"/>
            <w:tcBorders>
              <w:top w:val="single" w:sz="2" w:space="0" w:color="auto"/>
              <w:bottom w:val="single" w:sz="24" w:space="0" w:color="auto"/>
            </w:tcBorders>
            <w:shd w:val="clear" w:color="auto" w:fill="D9D9D9" w:themeFill="background1" w:themeFillShade="D9"/>
            <w:tcMar>
              <w:top w:w="0" w:type="dxa"/>
              <w:left w:w="108" w:type="dxa"/>
              <w:bottom w:w="0" w:type="dxa"/>
              <w:right w:w="108" w:type="dxa"/>
            </w:tcMar>
          </w:tcPr>
          <w:p w14:paraId="7D14A6E3" w14:textId="4CBCF9A1" w:rsidR="004A0554" w:rsidRPr="00143C2F" w:rsidRDefault="004A0554"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CONSERVA</w:t>
            </w:r>
            <w:r w:rsidR="00F82D35">
              <w:rPr>
                <w:rFonts w:ascii="Compatil Fact LT Pro" w:eastAsia="Calibri" w:hAnsi="Compatil Fact LT Pro" w:cstheme="majorHAnsi"/>
                <w:b/>
                <w:bCs/>
                <w:color w:val="auto"/>
                <w:sz w:val="19"/>
                <w:szCs w:val="19"/>
                <w:lang w:val="en-AU"/>
              </w:rPr>
              <w:t>-</w:t>
            </w:r>
            <w:r w:rsidRPr="00143C2F">
              <w:rPr>
                <w:rFonts w:ascii="Compatil Fact LT Pro" w:eastAsia="Calibri" w:hAnsi="Compatil Fact LT Pro" w:cstheme="majorHAnsi"/>
                <w:b/>
                <w:bCs/>
                <w:color w:val="auto"/>
                <w:sz w:val="19"/>
                <w:szCs w:val="19"/>
                <w:lang w:val="en-AU"/>
              </w:rPr>
              <w:t>TIVE</w:t>
            </w:r>
          </w:p>
        </w:tc>
        <w:tc>
          <w:tcPr>
            <w:tcW w:w="1039" w:type="dxa"/>
            <w:tcBorders>
              <w:top w:val="single" w:sz="2" w:space="0" w:color="auto"/>
              <w:bottom w:val="single" w:sz="24" w:space="0" w:color="auto"/>
            </w:tcBorders>
            <w:shd w:val="clear" w:color="auto" w:fill="D9D9D9" w:themeFill="background1" w:themeFillShade="D9"/>
            <w:tcMar>
              <w:top w:w="0" w:type="dxa"/>
              <w:left w:w="108" w:type="dxa"/>
              <w:bottom w:w="0" w:type="dxa"/>
              <w:right w:w="108" w:type="dxa"/>
            </w:tcMar>
            <w:hideMark/>
          </w:tcPr>
          <w:p w14:paraId="1C5350B9" w14:textId="454C832B" w:rsidR="004A0554" w:rsidRPr="00143C2F" w:rsidRDefault="004A0554"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DIV 50</w:t>
            </w:r>
          </w:p>
        </w:tc>
        <w:tc>
          <w:tcPr>
            <w:tcW w:w="1370" w:type="dxa"/>
            <w:tcBorders>
              <w:top w:val="single" w:sz="2" w:space="0" w:color="auto"/>
              <w:bottom w:val="single" w:sz="24" w:space="0" w:color="auto"/>
            </w:tcBorders>
            <w:shd w:val="clear" w:color="auto" w:fill="D9D9D9" w:themeFill="background1" w:themeFillShade="D9"/>
          </w:tcPr>
          <w:p w14:paraId="434C7F3B" w14:textId="137C61B7" w:rsidR="004A0554" w:rsidRPr="00143C2F" w:rsidRDefault="004A0554"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BALANCED</w:t>
            </w:r>
          </w:p>
        </w:tc>
        <w:tc>
          <w:tcPr>
            <w:tcW w:w="1370" w:type="dxa"/>
            <w:tcBorders>
              <w:top w:val="single" w:sz="2" w:space="0" w:color="auto"/>
              <w:bottom w:val="single" w:sz="24" w:space="0" w:color="auto"/>
            </w:tcBorders>
            <w:shd w:val="clear" w:color="auto" w:fill="D9D9D9" w:themeFill="background1" w:themeFillShade="D9"/>
          </w:tcPr>
          <w:p w14:paraId="68B9D2D9" w14:textId="77777777" w:rsidR="004A0554" w:rsidRPr="00143C2F" w:rsidRDefault="004A0554"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GROWTH</w:t>
            </w:r>
          </w:p>
        </w:tc>
        <w:tc>
          <w:tcPr>
            <w:tcW w:w="1370" w:type="dxa"/>
            <w:tcBorders>
              <w:top w:val="single" w:sz="2" w:space="0" w:color="auto"/>
              <w:bottom w:val="single" w:sz="24" w:space="0" w:color="auto"/>
            </w:tcBorders>
            <w:shd w:val="clear" w:color="auto" w:fill="D9D9D9" w:themeFill="background1" w:themeFillShade="D9"/>
          </w:tcPr>
          <w:p w14:paraId="3BDAB58F" w14:textId="77777777" w:rsidR="004A0554" w:rsidRPr="00143C2F" w:rsidRDefault="004A0554"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HIGH GROWTH</w:t>
            </w:r>
          </w:p>
        </w:tc>
        <w:tc>
          <w:tcPr>
            <w:tcW w:w="1371" w:type="dxa"/>
            <w:tcBorders>
              <w:top w:val="single" w:sz="2" w:space="0" w:color="auto"/>
              <w:bottom w:val="single" w:sz="24" w:space="0" w:color="auto"/>
            </w:tcBorders>
            <w:shd w:val="clear" w:color="auto" w:fill="D9D9D9" w:themeFill="background1" w:themeFillShade="D9"/>
          </w:tcPr>
          <w:p w14:paraId="507409E9" w14:textId="68C07952" w:rsidR="004A0554" w:rsidRPr="00143C2F" w:rsidRDefault="004A0554"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GEARED 120</w:t>
            </w:r>
          </w:p>
        </w:tc>
      </w:tr>
      <w:tr w:rsidR="00EC045C" w:rsidRPr="00143C2F" w14:paraId="754F392D" w14:textId="77777777" w:rsidTr="00143C2F">
        <w:trPr>
          <w:trHeight w:val="574"/>
        </w:trPr>
        <w:tc>
          <w:tcPr>
            <w:tcW w:w="1701" w:type="dxa"/>
            <w:tcBorders>
              <w:top w:val="single" w:sz="8" w:space="0" w:color="auto"/>
              <w:left w:val="nil"/>
              <w:bottom w:val="single" w:sz="8" w:space="0" w:color="auto"/>
              <w:right w:val="nil"/>
            </w:tcBorders>
            <w:shd w:val="clear" w:color="auto" w:fill="F2F2F2" w:themeFill="background1" w:themeFillShade="F2"/>
            <w:tcMar>
              <w:top w:w="0" w:type="dxa"/>
              <w:left w:w="108" w:type="dxa"/>
              <w:bottom w:w="0" w:type="dxa"/>
              <w:right w:w="108" w:type="dxa"/>
            </w:tcMar>
            <w:vAlign w:val="center"/>
          </w:tcPr>
          <w:p w14:paraId="2242C9D6" w14:textId="77777777" w:rsidR="00EC045C" w:rsidRPr="00143C2F" w:rsidRDefault="00EC045C" w:rsidP="00F82D35">
            <w:pPr>
              <w:spacing w:beforeLines="60" w:before="144" w:afterLines="60" w:after="144" w:line="276" w:lineRule="auto"/>
              <w:ind w:right="0"/>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GROWTH ASSETS</w:t>
            </w:r>
          </w:p>
        </w:tc>
        <w:tc>
          <w:tcPr>
            <w:tcW w:w="1560" w:type="dxa"/>
            <w:tcBorders>
              <w:top w:val="single" w:sz="8" w:space="0" w:color="auto"/>
              <w:left w:val="nil"/>
              <w:bottom w:val="single" w:sz="8" w:space="0" w:color="auto"/>
              <w:right w:val="nil"/>
            </w:tcBorders>
            <w:shd w:val="clear" w:color="auto" w:fill="F2F2F2" w:themeFill="background1" w:themeFillShade="F2"/>
            <w:tcMar>
              <w:top w:w="0" w:type="dxa"/>
              <w:left w:w="108" w:type="dxa"/>
              <w:bottom w:w="0" w:type="dxa"/>
              <w:right w:w="108" w:type="dxa"/>
            </w:tcMar>
            <w:vAlign w:val="center"/>
          </w:tcPr>
          <w:p w14:paraId="7745EA95" w14:textId="5396A131"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29.6</w:t>
            </w:r>
          </w:p>
        </w:tc>
        <w:tc>
          <w:tcPr>
            <w:tcW w:w="1039" w:type="dxa"/>
            <w:tcBorders>
              <w:top w:val="single" w:sz="8" w:space="0" w:color="auto"/>
              <w:bottom w:val="single" w:sz="8" w:space="0" w:color="auto"/>
            </w:tcBorders>
            <w:shd w:val="clear" w:color="auto" w:fill="F2F2F2" w:themeFill="background1" w:themeFillShade="F2"/>
            <w:tcMar>
              <w:top w:w="0" w:type="dxa"/>
              <w:left w:w="108" w:type="dxa"/>
              <w:bottom w:w="0" w:type="dxa"/>
              <w:right w:w="108" w:type="dxa"/>
            </w:tcMar>
            <w:vAlign w:val="center"/>
          </w:tcPr>
          <w:p w14:paraId="50456025" w14:textId="656CC08D"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50.0</w:t>
            </w:r>
          </w:p>
        </w:tc>
        <w:tc>
          <w:tcPr>
            <w:tcW w:w="1370" w:type="dxa"/>
            <w:tcBorders>
              <w:top w:val="single" w:sz="8" w:space="0" w:color="auto"/>
              <w:bottom w:val="single" w:sz="8" w:space="0" w:color="auto"/>
            </w:tcBorders>
            <w:shd w:val="clear" w:color="auto" w:fill="F2F2F2" w:themeFill="background1" w:themeFillShade="F2"/>
            <w:vAlign w:val="center"/>
          </w:tcPr>
          <w:p w14:paraId="10865BC3" w14:textId="300DEC7E"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69.5</w:t>
            </w:r>
          </w:p>
        </w:tc>
        <w:tc>
          <w:tcPr>
            <w:tcW w:w="1370" w:type="dxa"/>
            <w:tcBorders>
              <w:top w:val="single" w:sz="8" w:space="0" w:color="auto"/>
              <w:bottom w:val="single" w:sz="8" w:space="0" w:color="auto"/>
            </w:tcBorders>
            <w:shd w:val="clear" w:color="auto" w:fill="F2F2F2" w:themeFill="background1" w:themeFillShade="F2"/>
            <w:vAlign w:val="center"/>
          </w:tcPr>
          <w:p w14:paraId="0D7B0609" w14:textId="3E1F5BAB"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83.1</w:t>
            </w:r>
          </w:p>
        </w:tc>
        <w:tc>
          <w:tcPr>
            <w:tcW w:w="1370" w:type="dxa"/>
            <w:tcBorders>
              <w:top w:val="single" w:sz="8" w:space="0" w:color="auto"/>
              <w:bottom w:val="single" w:sz="8" w:space="0" w:color="auto"/>
            </w:tcBorders>
            <w:shd w:val="clear" w:color="auto" w:fill="F2F2F2" w:themeFill="background1" w:themeFillShade="F2"/>
            <w:vAlign w:val="center"/>
          </w:tcPr>
          <w:p w14:paraId="43A3319B" w14:textId="00FA6B04"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98.0</w:t>
            </w:r>
          </w:p>
        </w:tc>
        <w:tc>
          <w:tcPr>
            <w:tcW w:w="1371" w:type="dxa"/>
            <w:tcBorders>
              <w:top w:val="single" w:sz="8" w:space="0" w:color="auto"/>
              <w:bottom w:val="single" w:sz="8" w:space="0" w:color="auto"/>
            </w:tcBorders>
            <w:shd w:val="clear" w:color="auto" w:fill="F2F2F2" w:themeFill="background1" w:themeFillShade="F2"/>
            <w:vAlign w:val="center"/>
          </w:tcPr>
          <w:p w14:paraId="66B2D2D6" w14:textId="62E73B43"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119.5</w:t>
            </w:r>
          </w:p>
        </w:tc>
      </w:tr>
      <w:tr w:rsidR="00EC045C" w:rsidRPr="00143C2F" w14:paraId="0C7CBFE3"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7B516097" w14:textId="77777777" w:rsidR="00EC045C" w:rsidRPr="00143C2F" w:rsidRDefault="00EC045C"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Australian equity</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7BF37AC3" w14:textId="3D9EF328"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12.7</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46B9790F" w14:textId="460C079D"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21.1</w:t>
            </w:r>
          </w:p>
        </w:tc>
        <w:tc>
          <w:tcPr>
            <w:tcW w:w="1370" w:type="dxa"/>
            <w:tcBorders>
              <w:top w:val="single" w:sz="8" w:space="0" w:color="auto"/>
              <w:bottom w:val="single" w:sz="8" w:space="0" w:color="auto"/>
            </w:tcBorders>
            <w:vAlign w:val="center"/>
          </w:tcPr>
          <w:p w14:paraId="546615C8" w14:textId="777B3F75"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28.6</w:t>
            </w:r>
          </w:p>
        </w:tc>
        <w:tc>
          <w:tcPr>
            <w:tcW w:w="1370" w:type="dxa"/>
            <w:tcBorders>
              <w:top w:val="single" w:sz="8" w:space="0" w:color="auto"/>
              <w:bottom w:val="single" w:sz="8" w:space="0" w:color="auto"/>
            </w:tcBorders>
            <w:vAlign w:val="center"/>
          </w:tcPr>
          <w:p w14:paraId="6B5E719F" w14:textId="4ACB1B1B"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34.5</w:t>
            </w:r>
          </w:p>
        </w:tc>
        <w:tc>
          <w:tcPr>
            <w:tcW w:w="1370" w:type="dxa"/>
            <w:tcBorders>
              <w:top w:val="single" w:sz="8" w:space="0" w:color="auto"/>
              <w:bottom w:val="single" w:sz="8" w:space="0" w:color="auto"/>
            </w:tcBorders>
            <w:vAlign w:val="center"/>
          </w:tcPr>
          <w:p w14:paraId="2139C40B" w14:textId="438E7766"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43.0</w:t>
            </w:r>
          </w:p>
        </w:tc>
        <w:tc>
          <w:tcPr>
            <w:tcW w:w="1371" w:type="dxa"/>
            <w:tcBorders>
              <w:top w:val="single" w:sz="8" w:space="0" w:color="auto"/>
              <w:bottom w:val="single" w:sz="8" w:space="0" w:color="auto"/>
            </w:tcBorders>
            <w:vAlign w:val="center"/>
          </w:tcPr>
          <w:p w14:paraId="4022A766" w14:textId="2426E07C"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52.6</w:t>
            </w:r>
          </w:p>
        </w:tc>
      </w:tr>
      <w:tr w:rsidR="00EC045C" w:rsidRPr="00143C2F" w14:paraId="1A029D41"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28DA140D" w14:textId="77777777" w:rsidR="00EC045C" w:rsidRPr="00143C2F" w:rsidRDefault="00EC045C"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Global equity</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513FED1F" w14:textId="53278AEA"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12.4</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1C789328" w14:textId="0C6F24C8"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22.3</w:t>
            </w:r>
          </w:p>
        </w:tc>
        <w:tc>
          <w:tcPr>
            <w:tcW w:w="1370" w:type="dxa"/>
            <w:tcBorders>
              <w:top w:val="single" w:sz="8" w:space="0" w:color="auto"/>
              <w:bottom w:val="single" w:sz="8" w:space="0" w:color="auto"/>
            </w:tcBorders>
            <w:vAlign w:val="center"/>
          </w:tcPr>
          <w:p w14:paraId="58B237A7" w14:textId="7D58F9DB"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29.4</w:t>
            </w:r>
          </w:p>
        </w:tc>
        <w:tc>
          <w:tcPr>
            <w:tcW w:w="1370" w:type="dxa"/>
            <w:tcBorders>
              <w:top w:val="single" w:sz="8" w:space="0" w:color="auto"/>
              <w:bottom w:val="single" w:sz="8" w:space="0" w:color="auto"/>
            </w:tcBorders>
            <w:vAlign w:val="center"/>
          </w:tcPr>
          <w:p w14:paraId="480DDE81" w14:textId="26FEB5C3"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39.0</w:t>
            </w:r>
          </w:p>
        </w:tc>
        <w:tc>
          <w:tcPr>
            <w:tcW w:w="1370" w:type="dxa"/>
            <w:tcBorders>
              <w:top w:val="single" w:sz="8" w:space="0" w:color="auto"/>
              <w:bottom w:val="single" w:sz="8" w:space="0" w:color="auto"/>
            </w:tcBorders>
            <w:vAlign w:val="center"/>
          </w:tcPr>
          <w:p w14:paraId="571DD6B9" w14:textId="69F84B91"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43.7</w:t>
            </w:r>
          </w:p>
        </w:tc>
        <w:tc>
          <w:tcPr>
            <w:tcW w:w="1371" w:type="dxa"/>
            <w:tcBorders>
              <w:top w:val="single" w:sz="8" w:space="0" w:color="auto"/>
              <w:bottom w:val="single" w:sz="8" w:space="0" w:color="auto"/>
            </w:tcBorders>
            <w:vAlign w:val="center"/>
          </w:tcPr>
          <w:p w14:paraId="2EC36B92" w14:textId="12BD8C53"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56.1</w:t>
            </w:r>
          </w:p>
        </w:tc>
      </w:tr>
      <w:tr w:rsidR="00EC045C" w:rsidRPr="00143C2F" w14:paraId="12DD4DA5"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71577896" w14:textId="77777777" w:rsidR="00EC045C" w:rsidRPr="00143C2F" w:rsidRDefault="00EC045C"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Australian property</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43BA189D" w14:textId="4A5F8CE2"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1.1</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554F1E45" w14:textId="4E5B0EB9"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2.7</w:t>
            </w:r>
          </w:p>
        </w:tc>
        <w:tc>
          <w:tcPr>
            <w:tcW w:w="1370" w:type="dxa"/>
            <w:tcBorders>
              <w:top w:val="single" w:sz="8" w:space="0" w:color="auto"/>
              <w:bottom w:val="single" w:sz="8" w:space="0" w:color="auto"/>
            </w:tcBorders>
            <w:vAlign w:val="center"/>
          </w:tcPr>
          <w:p w14:paraId="574911BC" w14:textId="2E0D9312"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2.7</w:t>
            </w:r>
          </w:p>
        </w:tc>
        <w:tc>
          <w:tcPr>
            <w:tcW w:w="1370" w:type="dxa"/>
            <w:tcBorders>
              <w:top w:val="single" w:sz="8" w:space="0" w:color="auto"/>
              <w:bottom w:val="single" w:sz="8" w:space="0" w:color="auto"/>
            </w:tcBorders>
            <w:vAlign w:val="center"/>
          </w:tcPr>
          <w:p w14:paraId="293A3CE1" w14:textId="15BF0FB2"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2.7</w:t>
            </w:r>
          </w:p>
        </w:tc>
        <w:tc>
          <w:tcPr>
            <w:tcW w:w="1370" w:type="dxa"/>
            <w:tcBorders>
              <w:top w:val="single" w:sz="8" w:space="0" w:color="auto"/>
              <w:bottom w:val="single" w:sz="8" w:space="0" w:color="auto"/>
            </w:tcBorders>
            <w:vAlign w:val="center"/>
          </w:tcPr>
          <w:p w14:paraId="3A3E4693" w14:textId="22CCDCB8"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4.2</w:t>
            </w:r>
          </w:p>
        </w:tc>
        <w:tc>
          <w:tcPr>
            <w:tcW w:w="1371" w:type="dxa"/>
            <w:tcBorders>
              <w:top w:val="single" w:sz="8" w:space="0" w:color="auto"/>
              <w:bottom w:val="single" w:sz="8" w:space="0" w:color="auto"/>
            </w:tcBorders>
            <w:vAlign w:val="center"/>
          </w:tcPr>
          <w:p w14:paraId="02265025" w14:textId="2920FCED"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4.3</w:t>
            </w:r>
          </w:p>
        </w:tc>
      </w:tr>
      <w:tr w:rsidR="00EC045C" w:rsidRPr="00143C2F" w14:paraId="69862B46"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4EF8813E" w14:textId="77777777" w:rsidR="00EC045C" w:rsidRPr="00143C2F" w:rsidRDefault="00EC045C"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Global property</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2E831140" w14:textId="51ECF495"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1.1</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75398309" w14:textId="0229C27D"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1.7</w:t>
            </w:r>
          </w:p>
        </w:tc>
        <w:tc>
          <w:tcPr>
            <w:tcW w:w="1370" w:type="dxa"/>
            <w:tcBorders>
              <w:top w:val="single" w:sz="8" w:space="0" w:color="auto"/>
              <w:bottom w:val="single" w:sz="8" w:space="0" w:color="auto"/>
            </w:tcBorders>
            <w:vAlign w:val="center"/>
          </w:tcPr>
          <w:p w14:paraId="3A64F8B7" w14:textId="660AD177"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2.7</w:t>
            </w:r>
          </w:p>
        </w:tc>
        <w:tc>
          <w:tcPr>
            <w:tcW w:w="1370" w:type="dxa"/>
            <w:tcBorders>
              <w:top w:val="single" w:sz="8" w:space="0" w:color="auto"/>
              <w:bottom w:val="single" w:sz="8" w:space="0" w:color="auto"/>
            </w:tcBorders>
            <w:vAlign w:val="center"/>
          </w:tcPr>
          <w:p w14:paraId="4EA6557A" w14:textId="0D534C35"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2.7</w:t>
            </w:r>
          </w:p>
        </w:tc>
        <w:tc>
          <w:tcPr>
            <w:tcW w:w="1370" w:type="dxa"/>
            <w:tcBorders>
              <w:top w:val="single" w:sz="8" w:space="0" w:color="auto"/>
              <w:bottom w:val="single" w:sz="8" w:space="0" w:color="auto"/>
            </w:tcBorders>
            <w:vAlign w:val="center"/>
          </w:tcPr>
          <w:p w14:paraId="5E2A10B8" w14:textId="298C0E3D"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4.1</w:t>
            </w:r>
          </w:p>
        </w:tc>
        <w:tc>
          <w:tcPr>
            <w:tcW w:w="1371" w:type="dxa"/>
            <w:tcBorders>
              <w:top w:val="single" w:sz="8" w:space="0" w:color="auto"/>
              <w:bottom w:val="single" w:sz="8" w:space="0" w:color="auto"/>
            </w:tcBorders>
            <w:vAlign w:val="center"/>
          </w:tcPr>
          <w:p w14:paraId="0ED05629" w14:textId="2BD1C3C5"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3.2</w:t>
            </w:r>
          </w:p>
        </w:tc>
      </w:tr>
      <w:tr w:rsidR="00EC045C" w:rsidRPr="00143C2F" w14:paraId="43846FC4"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5B37081A" w14:textId="77777777" w:rsidR="00EC045C" w:rsidRPr="00143C2F" w:rsidRDefault="00EC045C"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Infrastructure</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693EA7F5" w14:textId="03895960"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1.0</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23BE4C08" w14:textId="0B0F4C69"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0.9</w:t>
            </w:r>
          </w:p>
        </w:tc>
        <w:tc>
          <w:tcPr>
            <w:tcW w:w="1370" w:type="dxa"/>
            <w:tcBorders>
              <w:top w:val="single" w:sz="8" w:space="0" w:color="auto"/>
              <w:bottom w:val="single" w:sz="8" w:space="0" w:color="auto"/>
            </w:tcBorders>
            <w:vAlign w:val="center"/>
          </w:tcPr>
          <w:p w14:paraId="56778335" w14:textId="59BE73B1"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1.8</w:t>
            </w:r>
          </w:p>
        </w:tc>
        <w:tc>
          <w:tcPr>
            <w:tcW w:w="1370" w:type="dxa"/>
            <w:tcBorders>
              <w:top w:val="single" w:sz="8" w:space="0" w:color="auto"/>
              <w:bottom w:val="single" w:sz="8" w:space="0" w:color="auto"/>
            </w:tcBorders>
            <w:vAlign w:val="center"/>
          </w:tcPr>
          <w:p w14:paraId="41F159DA" w14:textId="32E0B5C8"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2.3</w:t>
            </w:r>
          </w:p>
        </w:tc>
        <w:tc>
          <w:tcPr>
            <w:tcW w:w="1370" w:type="dxa"/>
            <w:tcBorders>
              <w:top w:val="single" w:sz="8" w:space="0" w:color="auto"/>
              <w:bottom w:val="single" w:sz="8" w:space="0" w:color="auto"/>
            </w:tcBorders>
            <w:vAlign w:val="center"/>
          </w:tcPr>
          <w:p w14:paraId="6310D29D" w14:textId="34DB63FC"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3.0</w:t>
            </w:r>
          </w:p>
        </w:tc>
        <w:tc>
          <w:tcPr>
            <w:tcW w:w="1371" w:type="dxa"/>
            <w:tcBorders>
              <w:top w:val="single" w:sz="8" w:space="0" w:color="auto"/>
              <w:bottom w:val="single" w:sz="8" w:space="0" w:color="auto"/>
            </w:tcBorders>
            <w:vAlign w:val="center"/>
          </w:tcPr>
          <w:p w14:paraId="176CC9BF" w14:textId="565ADDAB"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3.4</w:t>
            </w:r>
          </w:p>
        </w:tc>
      </w:tr>
      <w:tr w:rsidR="00EC045C" w:rsidRPr="00143C2F" w14:paraId="3F987867"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4AC081B4" w14:textId="77777777" w:rsidR="00EC045C" w:rsidRPr="00143C2F" w:rsidRDefault="00EC045C"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Growth alternatives</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563CA584" w14:textId="0085336F" w:rsidR="00EC045C"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6FA68B99" w14:textId="40891A10" w:rsidR="00EC045C"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0" w:type="dxa"/>
            <w:tcBorders>
              <w:top w:val="single" w:sz="8" w:space="0" w:color="auto"/>
              <w:bottom w:val="single" w:sz="8" w:space="0" w:color="auto"/>
            </w:tcBorders>
            <w:vAlign w:val="center"/>
          </w:tcPr>
          <w:p w14:paraId="634653D5" w14:textId="1D9023FC"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4.0</w:t>
            </w:r>
          </w:p>
        </w:tc>
        <w:tc>
          <w:tcPr>
            <w:tcW w:w="1370" w:type="dxa"/>
            <w:tcBorders>
              <w:top w:val="single" w:sz="8" w:space="0" w:color="auto"/>
              <w:bottom w:val="single" w:sz="8" w:space="0" w:color="auto"/>
            </w:tcBorders>
            <w:vAlign w:val="center"/>
          </w:tcPr>
          <w:p w14:paraId="1C0AF7E9" w14:textId="3B64FBEF"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1.4</w:t>
            </w:r>
          </w:p>
        </w:tc>
        <w:tc>
          <w:tcPr>
            <w:tcW w:w="1370" w:type="dxa"/>
            <w:tcBorders>
              <w:top w:val="single" w:sz="8" w:space="0" w:color="auto"/>
              <w:bottom w:val="single" w:sz="8" w:space="0" w:color="auto"/>
            </w:tcBorders>
            <w:vAlign w:val="center"/>
          </w:tcPr>
          <w:p w14:paraId="6BD55DD7" w14:textId="637B9EC6" w:rsidR="00EC045C"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1" w:type="dxa"/>
            <w:tcBorders>
              <w:top w:val="single" w:sz="8" w:space="0" w:color="auto"/>
              <w:bottom w:val="single" w:sz="8" w:space="0" w:color="auto"/>
            </w:tcBorders>
            <w:vAlign w:val="center"/>
          </w:tcPr>
          <w:p w14:paraId="737DE3C9" w14:textId="5127257F" w:rsidR="00EC045C"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r>
      <w:tr w:rsidR="00EC045C" w:rsidRPr="00143C2F" w14:paraId="3734BFA9"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574FCDED" w14:textId="77777777" w:rsidR="00EC045C" w:rsidRPr="00143C2F" w:rsidRDefault="00EC045C"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Extended credit</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2B9BD404" w14:textId="2E9F8A38"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1.3</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14216BE8" w14:textId="6EF76CDA"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1.2</w:t>
            </w:r>
          </w:p>
        </w:tc>
        <w:tc>
          <w:tcPr>
            <w:tcW w:w="1370" w:type="dxa"/>
            <w:tcBorders>
              <w:top w:val="single" w:sz="8" w:space="0" w:color="auto"/>
              <w:bottom w:val="single" w:sz="8" w:space="0" w:color="auto"/>
            </w:tcBorders>
            <w:vAlign w:val="center"/>
          </w:tcPr>
          <w:p w14:paraId="61355D93" w14:textId="20CA492B"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0.3</w:t>
            </w:r>
          </w:p>
        </w:tc>
        <w:tc>
          <w:tcPr>
            <w:tcW w:w="1370" w:type="dxa"/>
            <w:tcBorders>
              <w:top w:val="single" w:sz="8" w:space="0" w:color="auto"/>
              <w:bottom w:val="single" w:sz="8" w:space="0" w:color="auto"/>
            </w:tcBorders>
            <w:vAlign w:val="center"/>
          </w:tcPr>
          <w:p w14:paraId="5753B661" w14:textId="5604B536" w:rsidR="00EC045C" w:rsidRPr="00143C2F" w:rsidRDefault="00EC045C"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0.4</w:t>
            </w:r>
          </w:p>
        </w:tc>
        <w:tc>
          <w:tcPr>
            <w:tcW w:w="1370" w:type="dxa"/>
            <w:tcBorders>
              <w:top w:val="single" w:sz="8" w:space="0" w:color="auto"/>
              <w:bottom w:val="single" w:sz="8" w:space="0" w:color="auto"/>
            </w:tcBorders>
            <w:vAlign w:val="center"/>
          </w:tcPr>
          <w:p w14:paraId="4188893F" w14:textId="6785B0CA" w:rsidR="00EC045C"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1" w:type="dxa"/>
            <w:tcBorders>
              <w:top w:val="single" w:sz="8" w:space="0" w:color="auto"/>
              <w:bottom w:val="single" w:sz="8" w:space="0" w:color="auto"/>
            </w:tcBorders>
            <w:vAlign w:val="center"/>
          </w:tcPr>
          <w:p w14:paraId="2E05FFD8" w14:textId="6EA0D590" w:rsidR="00EC045C"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r>
      <w:tr w:rsidR="00143C2F" w:rsidRPr="00143C2F" w14:paraId="7783F513" w14:textId="77777777" w:rsidTr="00143C2F">
        <w:trPr>
          <w:trHeight w:val="574"/>
        </w:trPr>
        <w:tc>
          <w:tcPr>
            <w:tcW w:w="1701" w:type="dxa"/>
            <w:tcBorders>
              <w:top w:val="single" w:sz="8" w:space="0" w:color="auto"/>
              <w:left w:val="nil"/>
              <w:bottom w:val="single" w:sz="8" w:space="0" w:color="auto"/>
              <w:right w:val="nil"/>
            </w:tcBorders>
            <w:shd w:val="clear" w:color="auto" w:fill="F2F2F2" w:themeFill="background1" w:themeFillShade="F2"/>
            <w:tcMar>
              <w:top w:w="0" w:type="dxa"/>
              <w:left w:w="108" w:type="dxa"/>
              <w:bottom w:w="0" w:type="dxa"/>
              <w:right w:w="108" w:type="dxa"/>
            </w:tcMar>
            <w:vAlign w:val="center"/>
          </w:tcPr>
          <w:p w14:paraId="7DA98717" w14:textId="77777777" w:rsidR="00143C2F" w:rsidRPr="00143C2F" w:rsidRDefault="00143C2F" w:rsidP="00F82D35">
            <w:pPr>
              <w:spacing w:beforeLines="60" w:before="144" w:afterLines="60" w:after="144" w:line="276" w:lineRule="auto"/>
              <w:ind w:right="0"/>
              <w:rPr>
                <w:rFonts w:ascii="Compatil Fact LT Pro" w:eastAsia="Calibri" w:hAnsi="Compatil Fact LT Pro" w:cstheme="majorHAnsi"/>
                <w:b/>
                <w:bCs/>
                <w:color w:val="auto"/>
                <w:sz w:val="19"/>
                <w:szCs w:val="19"/>
                <w:lang w:val="en-AU"/>
              </w:rPr>
            </w:pPr>
            <w:r w:rsidRPr="00143C2F">
              <w:rPr>
                <w:rFonts w:ascii="Compatil Fact LT Pro" w:eastAsia="Calibri" w:hAnsi="Compatil Fact LT Pro" w:cstheme="majorHAnsi"/>
                <w:b/>
                <w:bCs/>
                <w:color w:val="auto"/>
                <w:sz w:val="19"/>
                <w:szCs w:val="19"/>
                <w:lang w:val="en-AU"/>
              </w:rPr>
              <w:t>DEFENSIVE ASSETS</w:t>
            </w:r>
          </w:p>
        </w:tc>
        <w:tc>
          <w:tcPr>
            <w:tcW w:w="1560" w:type="dxa"/>
            <w:tcBorders>
              <w:top w:val="single" w:sz="8" w:space="0" w:color="auto"/>
              <w:left w:val="nil"/>
              <w:bottom w:val="single" w:sz="8" w:space="0" w:color="auto"/>
              <w:right w:val="nil"/>
            </w:tcBorders>
            <w:shd w:val="clear" w:color="auto" w:fill="F2F2F2" w:themeFill="background1" w:themeFillShade="F2"/>
            <w:tcMar>
              <w:top w:w="0" w:type="dxa"/>
              <w:left w:w="108" w:type="dxa"/>
              <w:bottom w:w="0" w:type="dxa"/>
              <w:right w:w="108" w:type="dxa"/>
            </w:tcMar>
            <w:vAlign w:val="center"/>
          </w:tcPr>
          <w:p w14:paraId="6BB06F3E" w14:textId="66CE44A1"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70.4</w:t>
            </w:r>
          </w:p>
        </w:tc>
        <w:tc>
          <w:tcPr>
            <w:tcW w:w="1039" w:type="dxa"/>
            <w:tcBorders>
              <w:top w:val="single" w:sz="8" w:space="0" w:color="auto"/>
              <w:bottom w:val="single" w:sz="8" w:space="0" w:color="auto"/>
            </w:tcBorders>
            <w:shd w:val="clear" w:color="auto" w:fill="F2F2F2" w:themeFill="background1" w:themeFillShade="F2"/>
            <w:tcMar>
              <w:top w:w="0" w:type="dxa"/>
              <w:left w:w="108" w:type="dxa"/>
              <w:bottom w:w="0" w:type="dxa"/>
              <w:right w:w="108" w:type="dxa"/>
            </w:tcMar>
            <w:vAlign w:val="center"/>
          </w:tcPr>
          <w:p w14:paraId="6AA8A152" w14:textId="31AEB3F9"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50.0</w:t>
            </w:r>
          </w:p>
        </w:tc>
        <w:tc>
          <w:tcPr>
            <w:tcW w:w="1370" w:type="dxa"/>
            <w:tcBorders>
              <w:top w:val="single" w:sz="8" w:space="0" w:color="auto"/>
              <w:bottom w:val="single" w:sz="8" w:space="0" w:color="auto"/>
            </w:tcBorders>
            <w:shd w:val="clear" w:color="auto" w:fill="F2F2F2" w:themeFill="background1" w:themeFillShade="F2"/>
            <w:vAlign w:val="center"/>
          </w:tcPr>
          <w:p w14:paraId="6241B41C" w14:textId="75020342"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30.5</w:t>
            </w:r>
          </w:p>
        </w:tc>
        <w:tc>
          <w:tcPr>
            <w:tcW w:w="1370" w:type="dxa"/>
            <w:tcBorders>
              <w:top w:val="single" w:sz="8" w:space="0" w:color="auto"/>
              <w:bottom w:val="single" w:sz="8" w:space="0" w:color="auto"/>
            </w:tcBorders>
            <w:shd w:val="clear" w:color="auto" w:fill="F2F2F2" w:themeFill="background1" w:themeFillShade="F2"/>
            <w:vAlign w:val="center"/>
          </w:tcPr>
          <w:p w14:paraId="0DA7708A" w14:textId="6C78AE87"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16.9</w:t>
            </w:r>
          </w:p>
        </w:tc>
        <w:tc>
          <w:tcPr>
            <w:tcW w:w="1370" w:type="dxa"/>
            <w:tcBorders>
              <w:top w:val="single" w:sz="8" w:space="0" w:color="auto"/>
              <w:bottom w:val="single" w:sz="8" w:space="0" w:color="auto"/>
            </w:tcBorders>
            <w:shd w:val="clear" w:color="auto" w:fill="F2F2F2" w:themeFill="background1" w:themeFillShade="F2"/>
            <w:vAlign w:val="center"/>
          </w:tcPr>
          <w:p w14:paraId="6B9513DB" w14:textId="76B49726"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2.0</w:t>
            </w:r>
          </w:p>
        </w:tc>
        <w:tc>
          <w:tcPr>
            <w:tcW w:w="1371" w:type="dxa"/>
            <w:tcBorders>
              <w:top w:val="single" w:sz="8" w:space="0" w:color="auto"/>
              <w:bottom w:val="single" w:sz="8" w:space="0" w:color="auto"/>
            </w:tcBorders>
            <w:shd w:val="clear" w:color="auto" w:fill="F2F2F2" w:themeFill="background1" w:themeFillShade="F2"/>
            <w:vAlign w:val="center"/>
          </w:tcPr>
          <w:p w14:paraId="51279B77" w14:textId="6835CFB6"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b/>
                <w:bCs/>
                <w:color w:val="auto"/>
                <w:sz w:val="19"/>
                <w:szCs w:val="19"/>
                <w:lang w:val="en-AU"/>
              </w:rPr>
            </w:pPr>
            <w:r w:rsidRPr="00143C2F">
              <w:rPr>
                <w:rFonts w:ascii="Compatil Fact LT Pro" w:hAnsi="Compatil Fact LT Pro" w:cs="Arial"/>
                <w:b/>
                <w:bCs/>
                <w:color w:val="000000"/>
                <w:sz w:val="19"/>
                <w:szCs w:val="19"/>
                <w:lang w:eastAsia="en-AU"/>
              </w:rPr>
              <w:t>3.0</w:t>
            </w:r>
          </w:p>
        </w:tc>
      </w:tr>
      <w:tr w:rsidR="00143C2F" w:rsidRPr="00143C2F" w14:paraId="0698D685"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1C5DD9BC" w14:textId="77777777" w:rsidR="00143C2F" w:rsidRPr="00143C2F" w:rsidRDefault="00143C2F"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Loans &amp; absolute return credit</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5776B047" w14:textId="6E9BC2B1"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3.8</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7F55695C" w14:textId="6BAE5D8E"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3.6</w:t>
            </w:r>
          </w:p>
        </w:tc>
        <w:tc>
          <w:tcPr>
            <w:tcW w:w="1370" w:type="dxa"/>
            <w:tcBorders>
              <w:top w:val="single" w:sz="8" w:space="0" w:color="auto"/>
              <w:bottom w:val="single" w:sz="8" w:space="0" w:color="auto"/>
            </w:tcBorders>
            <w:vAlign w:val="center"/>
          </w:tcPr>
          <w:p w14:paraId="0AB7D8E6" w14:textId="34B65E34"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2.2</w:t>
            </w:r>
          </w:p>
        </w:tc>
        <w:tc>
          <w:tcPr>
            <w:tcW w:w="1370" w:type="dxa"/>
            <w:tcBorders>
              <w:top w:val="single" w:sz="8" w:space="0" w:color="auto"/>
              <w:bottom w:val="single" w:sz="8" w:space="0" w:color="auto"/>
            </w:tcBorders>
            <w:vAlign w:val="center"/>
          </w:tcPr>
          <w:p w14:paraId="4A08A760" w14:textId="2BD54B40"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2.6</w:t>
            </w:r>
          </w:p>
        </w:tc>
        <w:tc>
          <w:tcPr>
            <w:tcW w:w="1370" w:type="dxa"/>
            <w:tcBorders>
              <w:top w:val="single" w:sz="8" w:space="0" w:color="auto"/>
              <w:bottom w:val="single" w:sz="8" w:space="0" w:color="auto"/>
            </w:tcBorders>
            <w:vAlign w:val="center"/>
          </w:tcPr>
          <w:p w14:paraId="4909F414" w14:textId="26750E59"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1" w:type="dxa"/>
            <w:tcBorders>
              <w:top w:val="single" w:sz="8" w:space="0" w:color="auto"/>
              <w:bottom w:val="single" w:sz="8" w:space="0" w:color="auto"/>
            </w:tcBorders>
            <w:vAlign w:val="center"/>
          </w:tcPr>
          <w:p w14:paraId="1DE573D1" w14:textId="25BB4B58"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r>
      <w:tr w:rsidR="00143C2F" w:rsidRPr="00143C2F" w14:paraId="690A1F25"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306A6BA2" w14:textId="77777777" w:rsidR="00143C2F" w:rsidRPr="00143C2F" w:rsidRDefault="00143C2F"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Australian fixed income</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7DAFEBFB" w14:textId="01C47E37"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23.5</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60FCFCFC" w14:textId="029F02C3"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17.6</w:t>
            </w:r>
          </w:p>
        </w:tc>
        <w:tc>
          <w:tcPr>
            <w:tcW w:w="1370" w:type="dxa"/>
            <w:tcBorders>
              <w:top w:val="single" w:sz="8" w:space="0" w:color="auto"/>
              <w:bottom w:val="single" w:sz="8" w:space="0" w:color="auto"/>
            </w:tcBorders>
            <w:vAlign w:val="center"/>
          </w:tcPr>
          <w:p w14:paraId="648232AD" w14:textId="22EACBE5"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10.0</w:t>
            </w:r>
          </w:p>
        </w:tc>
        <w:tc>
          <w:tcPr>
            <w:tcW w:w="1370" w:type="dxa"/>
            <w:tcBorders>
              <w:top w:val="single" w:sz="8" w:space="0" w:color="auto"/>
              <w:bottom w:val="single" w:sz="8" w:space="0" w:color="auto"/>
            </w:tcBorders>
            <w:vAlign w:val="center"/>
          </w:tcPr>
          <w:p w14:paraId="71DEFC99" w14:textId="322CEDB1"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3.5</w:t>
            </w:r>
          </w:p>
        </w:tc>
        <w:tc>
          <w:tcPr>
            <w:tcW w:w="1370" w:type="dxa"/>
            <w:tcBorders>
              <w:top w:val="single" w:sz="8" w:space="0" w:color="auto"/>
              <w:bottom w:val="single" w:sz="8" w:space="0" w:color="auto"/>
            </w:tcBorders>
            <w:vAlign w:val="center"/>
          </w:tcPr>
          <w:p w14:paraId="128D6D0D" w14:textId="19F333B6"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1" w:type="dxa"/>
            <w:tcBorders>
              <w:top w:val="single" w:sz="8" w:space="0" w:color="auto"/>
              <w:bottom w:val="single" w:sz="8" w:space="0" w:color="auto"/>
            </w:tcBorders>
            <w:vAlign w:val="center"/>
          </w:tcPr>
          <w:p w14:paraId="569D3BC0" w14:textId="1137AFE1"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r>
      <w:tr w:rsidR="00143C2F" w:rsidRPr="00143C2F" w14:paraId="4BA52499"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4459CBF2" w14:textId="77777777" w:rsidR="00143C2F" w:rsidRPr="00143C2F" w:rsidRDefault="00143C2F"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Global fixed income</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43F1E645" w14:textId="11E39F72"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19.3</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321BB95D" w14:textId="1CE7B7AE"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12.5</w:t>
            </w:r>
          </w:p>
        </w:tc>
        <w:tc>
          <w:tcPr>
            <w:tcW w:w="1370" w:type="dxa"/>
            <w:tcBorders>
              <w:top w:val="single" w:sz="8" w:space="0" w:color="auto"/>
              <w:bottom w:val="single" w:sz="8" w:space="0" w:color="auto"/>
            </w:tcBorders>
            <w:vAlign w:val="center"/>
          </w:tcPr>
          <w:p w14:paraId="6CA2E585" w14:textId="0800DF39"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8.5</w:t>
            </w:r>
          </w:p>
        </w:tc>
        <w:tc>
          <w:tcPr>
            <w:tcW w:w="1370" w:type="dxa"/>
            <w:tcBorders>
              <w:top w:val="single" w:sz="8" w:space="0" w:color="auto"/>
              <w:bottom w:val="single" w:sz="8" w:space="0" w:color="auto"/>
            </w:tcBorders>
            <w:vAlign w:val="center"/>
          </w:tcPr>
          <w:p w14:paraId="404C1D1F" w14:textId="687F57AB"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2.6</w:t>
            </w:r>
          </w:p>
        </w:tc>
        <w:tc>
          <w:tcPr>
            <w:tcW w:w="1370" w:type="dxa"/>
            <w:tcBorders>
              <w:top w:val="single" w:sz="8" w:space="0" w:color="auto"/>
              <w:bottom w:val="single" w:sz="8" w:space="0" w:color="auto"/>
            </w:tcBorders>
            <w:vAlign w:val="center"/>
          </w:tcPr>
          <w:p w14:paraId="43060734" w14:textId="08B6674B"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1" w:type="dxa"/>
            <w:tcBorders>
              <w:top w:val="single" w:sz="8" w:space="0" w:color="auto"/>
              <w:bottom w:val="single" w:sz="8" w:space="0" w:color="auto"/>
            </w:tcBorders>
            <w:vAlign w:val="center"/>
          </w:tcPr>
          <w:p w14:paraId="594F20AB" w14:textId="57C4A071"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r>
      <w:tr w:rsidR="00143C2F" w:rsidRPr="00143C2F" w14:paraId="3016CE2B"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1979F1AD" w14:textId="77777777" w:rsidR="00143C2F" w:rsidRPr="00143C2F" w:rsidRDefault="00143C2F"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Defensive alternatives</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7639497E" w14:textId="0C4EFEDB"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0EC56A33" w14:textId="2D631BC5"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0" w:type="dxa"/>
            <w:tcBorders>
              <w:top w:val="single" w:sz="8" w:space="0" w:color="auto"/>
              <w:bottom w:val="single" w:sz="8" w:space="0" w:color="auto"/>
            </w:tcBorders>
            <w:vAlign w:val="center"/>
          </w:tcPr>
          <w:p w14:paraId="4687F115" w14:textId="75912BEB"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0.9</w:t>
            </w:r>
          </w:p>
        </w:tc>
        <w:tc>
          <w:tcPr>
            <w:tcW w:w="1370" w:type="dxa"/>
            <w:tcBorders>
              <w:top w:val="single" w:sz="8" w:space="0" w:color="auto"/>
              <w:bottom w:val="single" w:sz="8" w:space="0" w:color="auto"/>
            </w:tcBorders>
            <w:vAlign w:val="center"/>
          </w:tcPr>
          <w:p w14:paraId="68388233" w14:textId="346AF87F"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0.6</w:t>
            </w:r>
          </w:p>
        </w:tc>
        <w:tc>
          <w:tcPr>
            <w:tcW w:w="1370" w:type="dxa"/>
            <w:tcBorders>
              <w:top w:val="single" w:sz="8" w:space="0" w:color="auto"/>
              <w:bottom w:val="single" w:sz="8" w:space="0" w:color="auto"/>
            </w:tcBorders>
            <w:vAlign w:val="center"/>
          </w:tcPr>
          <w:p w14:paraId="5AE7DAFB" w14:textId="43BEF699"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1" w:type="dxa"/>
            <w:tcBorders>
              <w:top w:val="single" w:sz="8" w:space="0" w:color="auto"/>
              <w:bottom w:val="single" w:sz="8" w:space="0" w:color="auto"/>
            </w:tcBorders>
            <w:vAlign w:val="center"/>
          </w:tcPr>
          <w:p w14:paraId="0BC8C413" w14:textId="1760ED15"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r>
      <w:tr w:rsidR="00143C2F" w:rsidRPr="00143C2F" w14:paraId="4A95C6E0"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75F0031C" w14:textId="77777777" w:rsidR="00143C2F" w:rsidRPr="00143C2F" w:rsidRDefault="00143C2F"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Short-term credit</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13B451EB" w14:textId="7072B64F"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6.1</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07B76AE2" w14:textId="64239939"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5.8</w:t>
            </w:r>
          </w:p>
        </w:tc>
        <w:tc>
          <w:tcPr>
            <w:tcW w:w="1370" w:type="dxa"/>
            <w:tcBorders>
              <w:top w:val="single" w:sz="8" w:space="0" w:color="auto"/>
              <w:bottom w:val="single" w:sz="8" w:space="0" w:color="auto"/>
            </w:tcBorders>
            <w:vAlign w:val="center"/>
          </w:tcPr>
          <w:p w14:paraId="228C10A8" w14:textId="2F1730FB"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3.5</w:t>
            </w:r>
          </w:p>
        </w:tc>
        <w:tc>
          <w:tcPr>
            <w:tcW w:w="1370" w:type="dxa"/>
            <w:tcBorders>
              <w:top w:val="single" w:sz="8" w:space="0" w:color="auto"/>
              <w:bottom w:val="single" w:sz="8" w:space="0" w:color="auto"/>
            </w:tcBorders>
            <w:vAlign w:val="center"/>
          </w:tcPr>
          <w:p w14:paraId="7267CB7A" w14:textId="5D50954A"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1.7</w:t>
            </w:r>
          </w:p>
        </w:tc>
        <w:tc>
          <w:tcPr>
            <w:tcW w:w="1370" w:type="dxa"/>
            <w:tcBorders>
              <w:top w:val="single" w:sz="8" w:space="0" w:color="auto"/>
              <w:bottom w:val="single" w:sz="8" w:space="0" w:color="auto"/>
            </w:tcBorders>
            <w:vAlign w:val="center"/>
          </w:tcPr>
          <w:p w14:paraId="12F60E58" w14:textId="26987989"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c>
          <w:tcPr>
            <w:tcW w:w="1371" w:type="dxa"/>
            <w:tcBorders>
              <w:top w:val="single" w:sz="8" w:space="0" w:color="auto"/>
              <w:bottom w:val="single" w:sz="8" w:space="0" w:color="auto"/>
            </w:tcBorders>
            <w:vAlign w:val="center"/>
          </w:tcPr>
          <w:p w14:paraId="049105BD" w14:textId="72E69240" w:rsidR="00143C2F" w:rsidRPr="00143C2F" w:rsidRDefault="00F82D35"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Pr>
                <w:rFonts w:ascii="Compatil Fact LT Pro" w:hAnsi="Compatil Fact LT Pro" w:cs="Arial"/>
                <w:color w:val="000000"/>
                <w:sz w:val="19"/>
                <w:szCs w:val="19"/>
                <w:lang w:eastAsia="en-AU"/>
              </w:rPr>
              <w:t>-</w:t>
            </w:r>
          </w:p>
        </w:tc>
      </w:tr>
      <w:tr w:rsidR="00143C2F" w:rsidRPr="00143C2F" w14:paraId="137F3933" w14:textId="77777777" w:rsidTr="00143C2F">
        <w:trPr>
          <w:trHeight w:val="574"/>
        </w:trPr>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14:paraId="6EFB6773" w14:textId="77777777" w:rsidR="00143C2F" w:rsidRPr="00143C2F" w:rsidRDefault="00143C2F" w:rsidP="00F82D35">
            <w:pPr>
              <w:spacing w:beforeLines="60" w:before="144" w:afterLines="60" w:after="144" w:line="276" w:lineRule="auto"/>
              <w:ind w:right="0"/>
              <w:rPr>
                <w:rFonts w:ascii="Compatil Fact LT Pro" w:eastAsia="Calibri" w:hAnsi="Compatil Fact LT Pro" w:cstheme="majorHAnsi"/>
                <w:color w:val="auto"/>
                <w:sz w:val="19"/>
                <w:szCs w:val="19"/>
                <w:lang w:val="en-AU"/>
              </w:rPr>
            </w:pPr>
            <w:r w:rsidRPr="00143C2F">
              <w:rPr>
                <w:rFonts w:ascii="Compatil Fact LT Pro" w:eastAsia="Calibri" w:hAnsi="Compatil Fact LT Pro" w:cstheme="majorHAnsi"/>
                <w:color w:val="auto"/>
                <w:sz w:val="19"/>
                <w:szCs w:val="19"/>
                <w:lang w:val="en-AU"/>
              </w:rPr>
              <w:t xml:space="preserve">Cash </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tcPr>
          <w:p w14:paraId="3DBC8C15" w14:textId="19E19530"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17.7</w:t>
            </w:r>
          </w:p>
        </w:tc>
        <w:tc>
          <w:tcPr>
            <w:tcW w:w="1039" w:type="dxa"/>
            <w:tcBorders>
              <w:top w:val="single" w:sz="8" w:space="0" w:color="auto"/>
              <w:bottom w:val="single" w:sz="8" w:space="0" w:color="auto"/>
            </w:tcBorders>
            <w:tcMar>
              <w:top w:w="0" w:type="dxa"/>
              <w:left w:w="108" w:type="dxa"/>
              <w:bottom w:w="0" w:type="dxa"/>
              <w:right w:w="108" w:type="dxa"/>
            </w:tcMar>
            <w:vAlign w:val="center"/>
          </w:tcPr>
          <w:p w14:paraId="0556CB4A" w14:textId="6DD68E60"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10.4</w:t>
            </w:r>
          </w:p>
        </w:tc>
        <w:tc>
          <w:tcPr>
            <w:tcW w:w="1370" w:type="dxa"/>
            <w:tcBorders>
              <w:top w:val="single" w:sz="8" w:space="0" w:color="auto"/>
              <w:bottom w:val="single" w:sz="8" w:space="0" w:color="auto"/>
            </w:tcBorders>
            <w:vAlign w:val="center"/>
          </w:tcPr>
          <w:p w14:paraId="6DC17833" w14:textId="189EE16F"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5.3</w:t>
            </w:r>
          </w:p>
        </w:tc>
        <w:tc>
          <w:tcPr>
            <w:tcW w:w="1370" w:type="dxa"/>
            <w:tcBorders>
              <w:top w:val="single" w:sz="8" w:space="0" w:color="auto"/>
              <w:bottom w:val="single" w:sz="8" w:space="0" w:color="auto"/>
            </w:tcBorders>
            <w:vAlign w:val="center"/>
          </w:tcPr>
          <w:p w14:paraId="322D1DB6" w14:textId="4EF9B7E5"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5.8</w:t>
            </w:r>
          </w:p>
        </w:tc>
        <w:tc>
          <w:tcPr>
            <w:tcW w:w="1370" w:type="dxa"/>
            <w:tcBorders>
              <w:top w:val="single" w:sz="8" w:space="0" w:color="auto"/>
              <w:bottom w:val="single" w:sz="8" w:space="0" w:color="auto"/>
            </w:tcBorders>
            <w:vAlign w:val="center"/>
          </w:tcPr>
          <w:p w14:paraId="07D9993A" w14:textId="6356ABB9"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2.0</w:t>
            </w:r>
          </w:p>
        </w:tc>
        <w:tc>
          <w:tcPr>
            <w:tcW w:w="1371" w:type="dxa"/>
            <w:tcBorders>
              <w:top w:val="single" w:sz="8" w:space="0" w:color="auto"/>
              <w:bottom w:val="single" w:sz="8" w:space="0" w:color="auto"/>
            </w:tcBorders>
            <w:vAlign w:val="center"/>
          </w:tcPr>
          <w:p w14:paraId="41D7EBD6" w14:textId="109B5482" w:rsidR="00143C2F" w:rsidRPr="00143C2F" w:rsidRDefault="00143C2F" w:rsidP="00F82D35">
            <w:pPr>
              <w:spacing w:beforeLines="60" w:before="144" w:afterLines="60" w:after="144" w:line="276" w:lineRule="auto"/>
              <w:ind w:right="0"/>
              <w:jc w:val="center"/>
              <w:rPr>
                <w:rFonts w:ascii="Compatil Fact LT Pro" w:eastAsia="Calibri" w:hAnsi="Compatil Fact LT Pro" w:cstheme="majorHAnsi"/>
                <w:color w:val="auto"/>
                <w:sz w:val="19"/>
                <w:szCs w:val="19"/>
                <w:lang w:val="en-AU"/>
              </w:rPr>
            </w:pPr>
            <w:r w:rsidRPr="00143C2F">
              <w:rPr>
                <w:rFonts w:ascii="Compatil Fact LT Pro" w:hAnsi="Compatil Fact LT Pro" w:cs="Arial"/>
                <w:color w:val="000000"/>
                <w:sz w:val="19"/>
                <w:szCs w:val="19"/>
                <w:lang w:eastAsia="en-AU"/>
              </w:rPr>
              <w:t>3.0</w:t>
            </w:r>
          </w:p>
        </w:tc>
      </w:tr>
    </w:tbl>
    <w:p w14:paraId="5C830FC3" w14:textId="77777777" w:rsidR="00D04F07" w:rsidRPr="00690B77" w:rsidRDefault="00D04F07" w:rsidP="00690B77">
      <w:pPr>
        <w:spacing w:after="160" w:line="276" w:lineRule="auto"/>
        <w:ind w:right="0"/>
        <w:rPr>
          <w:rFonts w:ascii="Compatil Fact LT Pro" w:eastAsia="Calibri" w:hAnsi="Compatil Fact LT Pro" w:cstheme="majorHAnsi"/>
          <w:color w:val="auto"/>
          <w:sz w:val="21"/>
          <w:szCs w:val="21"/>
          <w:lang w:val="en-AU"/>
        </w:rPr>
      </w:pPr>
    </w:p>
    <w:p w14:paraId="1E7640C6" w14:textId="77777777" w:rsidR="00690B77" w:rsidRPr="00690B77" w:rsidRDefault="00690B77" w:rsidP="00690B77">
      <w:pPr>
        <w:spacing w:after="160" w:line="276" w:lineRule="auto"/>
        <w:ind w:right="0"/>
        <w:rPr>
          <w:rFonts w:ascii="Compatil Fact LT Pro" w:eastAsia="Calibri" w:hAnsi="Compatil Fact LT Pro" w:cstheme="majorHAnsi"/>
          <w:color w:val="auto"/>
          <w:sz w:val="21"/>
          <w:szCs w:val="21"/>
          <w:lang w:val="en-AU"/>
        </w:rPr>
      </w:pPr>
    </w:p>
    <w:p w14:paraId="7DD5BB08" w14:textId="77777777" w:rsidR="007B3E18" w:rsidRPr="007068B6" w:rsidRDefault="007B3E18" w:rsidP="007B3E18">
      <w:pPr>
        <w:pStyle w:val="Heading1"/>
        <w:spacing w:before="0" w:line="276" w:lineRule="auto"/>
        <w:rPr>
          <w:rFonts w:ascii="Arial" w:hAnsi="Arial" w:cs="Arial"/>
          <w:color w:val="005596" w:themeColor="accent4"/>
          <w:sz w:val="19"/>
          <w:szCs w:val="19"/>
        </w:rPr>
      </w:pPr>
      <w:r w:rsidRPr="007068B6">
        <w:rPr>
          <w:rFonts w:ascii="Arial" w:hAnsi="Arial" w:cs="Arial"/>
          <w:color w:val="005596" w:themeColor="accent4"/>
          <w:sz w:val="19"/>
          <w:szCs w:val="19"/>
        </w:rPr>
        <w:t>Effective date</w:t>
      </w:r>
    </w:p>
    <w:p w14:paraId="0B751C6B" w14:textId="1F61D5EB" w:rsidR="007B3E18" w:rsidRPr="007B3E18" w:rsidRDefault="007B3E18" w:rsidP="007B3E18">
      <w:pPr>
        <w:spacing w:after="160" w:line="276" w:lineRule="auto"/>
        <w:ind w:right="0"/>
        <w:rPr>
          <w:rFonts w:ascii="Compatil Fact LT Pro" w:eastAsia="Calibri" w:hAnsi="Compatil Fact LT Pro" w:cstheme="majorHAnsi"/>
          <w:color w:val="auto"/>
          <w:sz w:val="21"/>
          <w:szCs w:val="21"/>
          <w:lang w:val="en-AU"/>
        </w:rPr>
      </w:pPr>
      <w:r w:rsidRPr="007B3E18">
        <w:rPr>
          <w:rFonts w:ascii="Compatil Fact LT Pro" w:eastAsia="Calibri" w:hAnsi="Compatil Fact LT Pro" w:cstheme="majorHAnsi"/>
          <w:color w:val="auto"/>
          <w:sz w:val="21"/>
          <w:szCs w:val="21"/>
          <w:lang w:val="en-AU"/>
        </w:rPr>
        <w:t xml:space="preserve">These changes were completed between </w:t>
      </w:r>
      <w:r w:rsidRPr="007B3E18">
        <w:rPr>
          <w:rFonts w:ascii="Compatil Fact LT Pro" w:eastAsia="Calibri" w:hAnsi="Compatil Fact LT Pro" w:cstheme="majorHAnsi"/>
          <w:b/>
          <w:bCs/>
          <w:color w:val="auto"/>
          <w:sz w:val="21"/>
          <w:szCs w:val="21"/>
          <w:lang w:val="en-AU"/>
        </w:rPr>
        <w:t>2 February and 8 February 2024</w:t>
      </w:r>
      <w:r>
        <w:rPr>
          <w:rStyle w:val="FootnoteReference"/>
          <w:rFonts w:ascii="Compatil Fact LT Pro" w:eastAsia="Calibri" w:hAnsi="Compatil Fact LT Pro" w:cstheme="majorHAnsi"/>
          <w:color w:val="auto"/>
          <w:sz w:val="21"/>
          <w:szCs w:val="21"/>
          <w:lang w:val="en-AU"/>
        </w:rPr>
        <w:footnoteReference w:id="2"/>
      </w:r>
      <w:r w:rsidRPr="007B3E18">
        <w:rPr>
          <w:rFonts w:ascii="Compatil Fact LT Pro" w:eastAsia="Calibri" w:hAnsi="Compatil Fact LT Pro" w:cstheme="majorHAnsi"/>
          <w:color w:val="auto"/>
          <w:sz w:val="21"/>
          <w:szCs w:val="21"/>
          <w:lang w:val="en-AU"/>
        </w:rPr>
        <w:t>.</w:t>
      </w:r>
    </w:p>
    <w:p w14:paraId="26CFE7C0" w14:textId="77777777" w:rsidR="007B3E18" w:rsidRPr="007068B6" w:rsidRDefault="007B3E18" w:rsidP="007B3E18">
      <w:pPr>
        <w:pStyle w:val="Tablegraphintrocopy"/>
        <w:rPr>
          <w:rFonts w:ascii="Arial" w:hAnsi="Arial" w:cs="Arial"/>
          <w:color w:val="auto"/>
          <w:sz w:val="19"/>
          <w:szCs w:val="19"/>
        </w:rPr>
      </w:pPr>
    </w:p>
    <w:p w14:paraId="10FA710B" w14:textId="77777777" w:rsidR="007B3E18" w:rsidRPr="007068B6" w:rsidRDefault="007B3E18" w:rsidP="007B3E18">
      <w:pPr>
        <w:pStyle w:val="Heading1"/>
        <w:spacing w:before="0" w:line="276" w:lineRule="auto"/>
        <w:rPr>
          <w:rFonts w:ascii="Arial" w:hAnsi="Arial" w:cs="Arial"/>
          <w:color w:val="005596" w:themeColor="accent4"/>
          <w:sz w:val="19"/>
          <w:szCs w:val="19"/>
        </w:rPr>
      </w:pPr>
      <w:r w:rsidRPr="007068B6">
        <w:rPr>
          <w:rFonts w:ascii="Arial" w:hAnsi="Arial" w:cs="Arial"/>
          <w:color w:val="005596" w:themeColor="accent4"/>
          <w:sz w:val="19"/>
          <w:szCs w:val="19"/>
        </w:rPr>
        <w:t>Looking ahead</w:t>
      </w:r>
    </w:p>
    <w:p w14:paraId="72CF60A0" w14:textId="77777777" w:rsidR="007B3E18" w:rsidRPr="007B3E18" w:rsidRDefault="007B3E18" w:rsidP="007B3E18">
      <w:pPr>
        <w:spacing w:after="160" w:line="276" w:lineRule="auto"/>
        <w:ind w:right="0"/>
        <w:rPr>
          <w:rFonts w:ascii="Compatil Fact LT Pro" w:eastAsia="Calibri" w:hAnsi="Compatil Fact LT Pro" w:cstheme="majorHAnsi"/>
          <w:color w:val="auto"/>
          <w:sz w:val="21"/>
          <w:szCs w:val="21"/>
          <w:lang w:val="en-AU"/>
        </w:rPr>
      </w:pPr>
      <w:r w:rsidRPr="007B3E18">
        <w:rPr>
          <w:rFonts w:ascii="Compatil Fact LT Pro" w:eastAsia="Calibri" w:hAnsi="Compatil Fact LT Pro" w:cstheme="majorHAnsi"/>
          <w:color w:val="auto"/>
          <w:sz w:val="21"/>
          <w:szCs w:val="21"/>
          <w:lang w:val="en-AU"/>
        </w:rPr>
        <w:t>Growth in most major economies is slowing down and most central banks appear to have finished raising interest rates. However, there is still a risk of further rate hikes if inflation fails to cool as expected.</w:t>
      </w:r>
    </w:p>
    <w:p w14:paraId="18BACBB8" w14:textId="77777777" w:rsidR="007B3E18" w:rsidRPr="007B3E18" w:rsidRDefault="007B3E18" w:rsidP="007B3E18">
      <w:pPr>
        <w:spacing w:after="160" w:line="276" w:lineRule="auto"/>
        <w:ind w:right="0"/>
        <w:rPr>
          <w:rFonts w:ascii="Compatil Fact LT Pro" w:eastAsia="Calibri" w:hAnsi="Compatil Fact LT Pro" w:cstheme="majorHAnsi"/>
          <w:color w:val="auto"/>
          <w:sz w:val="21"/>
          <w:szCs w:val="21"/>
          <w:lang w:val="en-AU"/>
        </w:rPr>
      </w:pPr>
      <w:r w:rsidRPr="007B3E18">
        <w:rPr>
          <w:rFonts w:ascii="Compatil Fact LT Pro" w:eastAsia="Calibri" w:hAnsi="Compatil Fact LT Pro" w:cstheme="majorHAnsi"/>
          <w:color w:val="auto"/>
          <w:sz w:val="21"/>
          <w:szCs w:val="21"/>
          <w:lang w:val="en-AU"/>
        </w:rPr>
        <w:t>Whilst economic data in the US has so far proven more resilient than markets initially expected, we believe the risk of a recession in the world’s biggest economy over the next 12 to 18 months remains elevated. Elsewhere, the euro-zone is experiencing a decline in bank lending, persistent inflation in the UK has forced the Bank of England to lift interest rates despite a lack of growth, and China’s economy continues to face challenges following a post-pandemic lockdown surge. Japan remains the notable outlier. Interest rates in Japan are still very low, while growth in the country is likely to remain above trend.</w:t>
      </w:r>
    </w:p>
    <w:p w14:paraId="51261368" w14:textId="77777777" w:rsidR="007B3E18" w:rsidRPr="007B3E18" w:rsidRDefault="007B3E18" w:rsidP="007B3E18">
      <w:pPr>
        <w:spacing w:after="160" w:line="276" w:lineRule="auto"/>
        <w:ind w:right="0"/>
        <w:rPr>
          <w:rFonts w:ascii="Compatil Fact LT Pro" w:eastAsia="Calibri" w:hAnsi="Compatil Fact LT Pro" w:cstheme="majorHAnsi"/>
          <w:color w:val="auto"/>
          <w:sz w:val="21"/>
          <w:szCs w:val="21"/>
          <w:lang w:val="en-AU"/>
        </w:rPr>
      </w:pPr>
      <w:r w:rsidRPr="007B3E18">
        <w:rPr>
          <w:rFonts w:ascii="Compatil Fact LT Pro" w:eastAsia="Calibri" w:hAnsi="Compatil Fact LT Pro" w:cstheme="majorHAnsi"/>
          <w:color w:val="auto"/>
          <w:sz w:val="21"/>
          <w:szCs w:val="21"/>
          <w:lang w:val="en-AU"/>
        </w:rPr>
        <w:t>If equity markets continue to rally, we may continue to trim risk assets and increase defensive assets. Opportunities may also arise if markets react more negatively to potential recession outcomes.</w:t>
      </w:r>
    </w:p>
    <w:p w14:paraId="3CC35426" w14:textId="77777777" w:rsidR="007B3E18" w:rsidRPr="007B3E18" w:rsidRDefault="007B3E18" w:rsidP="007B3E18">
      <w:pPr>
        <w:spacing w:after="160" w:line="276" w:lineRule="auto"/>
        <w:ind w:right="0"/>
        <w:rPr>
          <w:rFonts w:ascii="Compatil Fact LT Pro" w:eastAsia="Calibri" w:hAnsi="Compatil Fact LT Pro" w:cstheme="majorHAnsi"/>
          <w:color w:val="auto"/>
          <w:sz w:val="21"/>
          <w:szCs w:val="21"/>
          <w:lang w:val="en-AU"/>
        </w:rPr>
      </w:pPr>
      <w:r w:rsidRPr="007B3E18">
        <w:rPr>
          <w:rFonts w:ascii="Compatil Fact LT Pro" w:eastAsia="Calibri" w:hAnsi="Compatil Fact LT Pro" w:cstheme="majorHAnsi"/>
          <w:color w:val="auto"/>
          <w:sz w:val="21"/>
          <w:szCs w:val="21"/>
          <w:lang w:val="en-AU"/>
        </w:rPr>
        <w:t>Moving forward, it’s important to remember that whilst we cannot control what markets do, we can control how we react to them. The Portfolios have been constructed to respond to changing market dynamics in real time, to effectively manage risk and to take advantage of market opportunities as they arise.</w:t>
      </w:r>
    </w:p>
    <w:p w14:paraId="1380DC59" w14:textId="0356D797" w:rsidR="00690B77" w:rsidRDefault="007B3E18" w:rsidP="004C0266">
      <w:pPr>
        <w:spacing w:after="160" w:line="276" w:lineRule="auto"/>
        <w:ind w:right="0"/>
        <w:rPr>
          <w:rFonts w:ascii="Compatil Fact LT Pro" w:eastAsia="Calibri" w:hAnsi="Compatil Fact LT Pro" w:cstheme="majorHAnsi"/>
          <w:color w:val="auto"/>
          <w:sz w:val="21"/>
          <w:szCs w:val="21"/>
          <w:lang w:val="en-AU"/>
        </w:rPr>
      </w:pPr>
      <w:r w:rsidRPr="007B3E18">
        <w:rPr>
          <w:rFonts w:ascii="Compatil Fact LT Pro" w:eastAsia="Calibri" w:hAnsi="Compatil Fact LT Pro" w:cstheme="majorHAnsi"/>
          <w:color w:val="auto"/>
          <w:sz w:val="21"/>
          <w:szCs w:val="21"/>
          <w:lang w:val="en-AU"/>
        </w:rPr>
        <w:t>Moreover, we are committed to achieving long-term outperformance for investors and remain both patient and alert for any investment opportunities.</w:t>
      </w:r>
    </w:p>
    <w:bookmarkEnd w:id="1"/>
    <w:p w14:paraId="70D3C11F" w14:textId="77777777" w:rsidR="00A315D4" w:rsidRDefault="00A315D4" w:rsidP="00A315D4">
      <w:pPr>
        <w:pStyle w:val="Bodycopy"/>
      </w:pPr>
    </w:p>
    <w:p w14:paraId="761F76DB" w14:textId="77777777" w:rsidR="00F012E3" w:rsidRDefault="00F012E3" w:rsidP="00F012E3">
      <w:pPr>
        <w:pStyle w:val="Bodycopy"/>
        <w:rPr>
          <w:rFonts w:asciiTheme="majorHAnsi" w:hAnsiTheme="majorHAnsi" w:cstheme="majorHAnsi"/>
          <w:sz w:val="24"/>
          <w:szCs w:val="24"/>
        </w:rPr>
      </w:pPr>
    </w:p>
    <w:p w14:paraId="19CB1ADD" w14:textId="77777777" w:rsidR="004C0266" w:rsidRDefault="004C0266" w:rsidP="00F012E3">
      <w:pPr>
        <w:pStyle w:val="Bodycopy"/>
        <w:rPr>
          <w:rFonts w:ascii="Compatil Fact LT Pro" w:hAnsi="Compatil Fact LT Pro" w:cstheme="majorHAnsi"/>
          <w:b/>
          <w:bCs/>
          <w:color w:val="005596"/>
          <w:sz w:val="20"/>
          <w:szCs w:val="20"/>
        </w:rPr>
      </w:pPr>
    </w:p>
    <w:p w14:paraId="62C30763" w14:textId="77777777" w:rsidR="004C0266" w:rsidRDefault="004C0266" w:rsidP="00F012E3">
      <w:pPr>
        <w:pStyle w:val="Bodycopy"/>
        <w:rPr>
          <w:rFonts w:ascii="Compatil Fact LT Pro" w:hAnsi="Compatil Fact LT Pro" w:cstheme="majorHAnsi"/>
          <w:b/>
          <w:bCs/>
          <w:color w:val="005596"/>
          <w:sz w:val="20"/>
          <w:szCs w:val="20"/>
        </w:rPr>
      </w:pPr>
    </w:p>
    <w:p w14:paraId="52292F5E" w14:textId="77777777" w:rsidR="004C0266" w:rsidRDefault="004C0266" w:rsidP="00F012E3">
      <w:pPr>
        <w:pStyle w:val="Bodycopy"/>
        <w:rPr>
          <w:rFonts w:ascii="Compatil Fact LT Pro" w:hAnsi="Compatil Fact LT Pro" w:cstheme="majorHAnsi"/>
          <w:b/>
          <w:bCs/>
          <w:color w:val="005596"/>
          <w:sz w:val="20"/>
          <w:szCs w:val="20"/>
        </w:rPr>
      </w:pPr>
    </w:p>
    <w:p w14:paraId="368FFC5A" w14:textId="77777777" w:rsidR="004C0266" w:rsidRDefault="004C0266" w:rsidP="00F012E3">
      <w:pPr>
        <w:pStyle w:val="Bodycopy"/>
        <w:rPr>
          <w:rFonts w:ascii="Compatil Fact LT Pro" w:hAnsi="Compatil Fact LT Pro" w:cstheme="majorHAnsi"/>
          <w:b/>
          <w:bCs/>
          <w:color w:val="005596"/>
          <w:sz w:val="20"/>
          <w:szCs w:val="20"/>
        </w:rPr>
      </w:pPr>
    </w:p>
    <w:p w14:paraId="6C425857" w14:textId="77777777" w:rsidR="00D95644" w:rsidRDefault="00D95644" w:rsidP="00F012E3">
      <w:pPr>
        <w:pStyle w:val="Bodycopy"/>
        <w:rPr>
          <w:rFonts w:ascii="Compatil Fact LT Pro" w:hAnsi="Compatil Fact LT Pro" w:cstheme="majorHAnsi"/>
          <w:b/>
          <w:bCs/>
          <w:color w:val="005596"/>
          <w:sz w:val="20"/>
          <w:szCs w:val="20"/>
        </w:rPr>
      </w:pPr>
    </w:p>
    <w:p w14:paraId="71C18E11" w14:textId="77777777" w:rsidR="00D95644" w:rsidRDefault="00D95644" w:rsidP="00F012E3">
      <w:pPr>
        <w:pStyle w:val="Bodycopy"/>
        <w:rPr>
          <w:rFonts w:ascii="Compatil Fact LT Pro" w:hAnsi="Compatil Fact LT Pro" w:cstheme="majorHAnsi"/>
          <w:b/>
          <w:bCs/>
          <w:color w:val="005596"/>
          <w:sz w:val="20"/>
          <w:szCs w:val="20"/>
        </w:rPr>
      </w:pPr>
    </w:p>
    <w:p w14:paraId="7F1A31DB" w14:textId="4843F2AC" w:rsidR="00F012E3" w:rsidRPr="00CD5402" w:rsidRDefault="00F012E3" w:rsidP="00F012E3">
      <w:pPr>
        <w:pStyle w:val="Bodycopy"/>
        <w:rPr>
          <w:rFonts w:ascii="Compatil Fact LT Pro" w:hAnsi="Compatil Fact LT Pro" w:cstheme="majorHAnsi"/>
          <w:b/>
          <w:bCs/>
          <w:color w:val="005596"/>
          <w:sz w:val="20"/>
          <w:szCs w:val="20"/>
        </w:rPr>
      </w:pPr>
      <w:r w:rsidRPr="00CD5402">
        <w:rPr>
          <w:rFonts w:ascii="Compatil Fact LT Pro" w:hAnsi="Compatil Fact LT Pro" w:cstheme="majorHAnsi"/>
          <w:b/>
          <w:bCs/>
          <w:color w:val="005596"/>
          <w:sz w:val="20"/>
          <w:szCs w:val="20"/>
        </w:rPr>
        <w:t>IMPORTANT INFORMATION</w:t>
      </w:r>
    </w:p>
    <w:p w14:paraId="2AF7880F" w14:textId="77777777" w:rsidR="00F012E3" w:rsidRDefault="00F012E3" w:rsidP="00F012E3">
      <w:pPr>
        <w:autoSpaceDE w:val="0"/>
        <w:autoSpaceDN w:val="0"/>
        <w:snapToGrid w:val="0"/>
        <w:rPr>
          <w:rFonts w:ascii="Compatil Fact LT Pro" w:eastAsiaTheme="minorHAnsi" w:hAnsi="Compatil Fact LT Pro" w:cstheme="majorHAnsi"/>
          <w:color w:val="auto"/>
          <w:sz w:val="16"/>
          <w:szCs w:val="16"/>
          <w:lang w:val="en-AU" w:eastAsia="en-AU"/>
        </w:rPr>
      </w:pPr>
      <w:r w:rsidRPr="009459A4">
        <w:rPr>
          <w:rFonts w:ascii="Compatil Fact LT Pro" w:eastAsiaTheme="minorHAnsi" w:hAnsi="Compatil Fact LT Pro" w:cstheme="majorHAnsi"/>
          <w:color w:val="auto"/>
          <w:sz w:val="16"/>
          <w:szCs w:val="16"/>
          <w:lang w:val="en-AU" w:eastAsia="en-AU"/>
        </w:rPr>
        <w:t xml:space="preserve">Issued by Russell Investment Management Ltd ABN 53 068 338 974, AFSL 247185 (RIM). This document contains </w:t>
      </w:r>
      <w:proofErr w:type="gramStart"/>
      <w:r w:rsidRPr="009459A4">
        <w:rPr>
          <w:rFonts w:ascii="Compatil Fact LT Pro" w:eastAsiaTheme="minorHAnsi" w:hAnsi="Compatil Fact LT Pro" w:cstheme="majorHAnsi"/>
          <w:color w:val="auto"/>
          <w:sz w:val="16"/>
          <w:szCs w:val="16"/>
          <w:lang w:val="en-AU" w:eastAsia="en-AU"/>
        </w:rPr>
        <w:t>factual information</w:t>
      </w:r>
      <w:proofErr w:type="gramEnd"/>
      <w:r w:rsidRPr="009459A4">
        <w:rPr>
          <w:rFonts w:ascii="Compatil Fact LT Pro" w:eastAsiaTheme="minorHAnsi" w:hAnsi="Compatil Fact LT Pro" w:cstheme="majorHAnsi"/>
          <w:color w:val="auto"/>
          <w:sz w:val="16"/>
          <w:szCs w:val="16"/>
          <w:lang w:val="en-AU" w:eastAsia="en-AU"/>
        </w:rPr>
        <w:t xml:space="preserve"> only about the Russell Investments Managed Portfolios. The information is not intended to imply any recommendation or opinion about a financial product. RIM is not providing financial product advice and you should consider obtaining independent advice before making any financial decisions. This information has been compiled from sources considered to be reliable but is not guaranteed.  </w:t>
      </w:r>
    </w:p>
    <w:p w14:paraId="752B77B2" w14:textId="77777777" w:rsidR="00F012E3" w:rsidRPr="005F1509" w:rsidRDefault="00F012E3" w:rsidP="00F012E3">
      <w:pPr>
        <w:autoSpaceDE w:val="0"/>
        <w:autoSpaceDN w:val="0"/>
        <w:snapToGrid w:val="0"/>
        <w:rPr>
          <w:rFonts w:ascii="Compatil Fact LT Pro" w:eastAsiaTheme="minorHAnsi" w:hAnsi="Compatil Fact LT Pro" w:cstheme="majorHAnsi"/>
          <w:color w:val="auto"/>
          <w:sz w:val="16"/>
          <w:szCs w:val="16"/>
          <w:lang w:val="en-AU" w:eastAsia="en-AU"/>
        </w:rPr>
      </w:pPr>
      <w:r w:rsidRPr="005F1509">
        <w:rPr>
          <w:rFonts w:ascii="Compatil Fact LT Pro" w:eastAsiaTheme="minorHAnsi" w:hAnsi="Compatil Fact LT Pro" w:cstheme="majorHAnsi"/>
          <w:color w:val="auto"/>
          <w:sz w:val="16"/>
          <w:szCs w:val="16"/>
          <w:lang w:val="en-AU" w:eastAsia="en-AU"/>
        </w:rPr>
        <w:t xml:space="preserve">RIM is part of Russell Investments. RIM </w:t>
      </w:r>
      <w:r w:rsidRPr="00A16639">
        <w:rPr>
          <w:rFonts w:ascii="Compatil Fact LT Pro" w:eastAsiaTheme="minorHAnsi" w:hAnsi="Compatil Fact LT Pro" w:cstheme="majorHAnsi"/>
          <w:color w:val="auto"/>
          <w:sz w:val="16"/>
          <w:szCs w:val="16"/>
          <w:lang w:val="en-AU" w:eastAsia="en-AU"/>
        </w:rPr>
        <w:t>is the issuer of the Russell Investments Funds and Russell Investments ETFs mentioned in this document</w:t>
      </w:r>
      <w:r w:rsidRPr="005F1509">
        <w:rPr>
          <w:rFonts w:ascii="Compatil Fact LT Pro" w:eastAsiaTheme="minorHAnsi" w:hAnsi="Compatil Fact LT Pro" w:cstheme="majorHAnsi"/>
          <w:color w:val="auto"/>
          <w:sz w:val="16"/>
          <w:szCs w:val="16"/>
          <w:lang w:val="en-AU" w:eastAsia="en-AU"/>
        </w:rPr>
        <w:t xml:space="preserve">. Russell Investments or its associates, officers or employees may have interests in the financial products referred to in this information by acting in various roles including broker or adviser, and may receive fees, </w:t>
      </w:r>
      <w:proofErr w:type="gramStart"/>
      <w:r w:rsidRPr="005F1509">
        <w:rPr>
          <w:rFonts w:ascii="Compatil Fact LT Pro" w:eastAsiaTheme="minorHAnsi" w:hAnsi="Compatil Fact LT Pro" w:cstheme="majorHAnsi"/>
          <w:color w:val="auto"/>
          <w:sz w:val="16"/>
          <w:szCs w:val="16"/>
          <w:lang w:val="en-AU" w:eastAsia="en-AU"/>
        </w:rPr>
        <w:t>brokerage</w:t>
      </w:r>
      <w:proofErr w:type="gramEnd"/>
      <w:r w:rsidRPr="005F1509">
        <w:rPr>
          <w:rFonts w:ascii="Compatil Fact LT Pro" w:eastAsiaTheme="minorHAnsi" w:hAnsi="Compatil Fact LT Pro" w:cstheme="majorHAnsi"/>
          <w:color w:val="auto"/>
          <w:sz w:val="16"/>
          <w:szCs w:val="16"/>
          <w:lang w:val="en-AU" w:eastAsia="en-AU"/>
        </w:rPr>
        <w:t xml:space="preserve"> or commissions for acting in these capacities. In addition, Russell Investments or its associates, officers or employees may buy or sell the financial products as principal or agent. </w:t>
      </w:r>
    </w:p>
    <w:p w14:paraId="1F9BD61C" w14:textId="77777777" w:rsidR="00F012E3" w:rsidRPr="005F1509" w:rsidRDefault="00F012E3" w:rsidP="00F012E3">
      <w:pPr>
        <w:autoSpaceDE w:val="0"/>
        <w:autoSpaceDN w:val="0"/>
        <w:snapToGrid w:val="0"/>
        <w:rPr>
          <w:rFonts w:ascii="Compatil Fact LT Pro" w:eastAsiaTheme="minorHAnsi" w:hAnsi="Compatil Fact LT Pro" w:cstheme="majorHAnsi"/>
          <w:color w:val="auto"/>
          <w:sz w:val="16"/>
          <w:szCs w:val="16"/>
          <w:lang w:val="en-AU" w:eastAsia="en-AU"/>
        </w:rPr>
      </w:pPr>
      <w:r w:rsidRPr="005F1509">
        <w:rPr>
          <w:rFonts w:ascii="Compatil Fact LT Pro" w:eastAsiaTheme="minorHAnsi" w:hAnsi="Compatil Fact LT Pro" w:cstheme="majorHAnsi"/>
          <w:color w:val="auto"/>
          <w:sz w:val="16"/>
          <w:szCs w:val="16"/>
          <w:lang w:val="en-AU" w:eastAsia="en-AU"/>
        </w:rPr>
        <w:t xml:space="preserve">To the extent permitted by law, no liability is accepted for any loss or damage </w:t>
      </w:r>
      <w:proofErr w:type="gramStart"/>
      <w:r w:rsidRPr="005F1509">
        <w:rPr>
          <w:rFonts w:ascii="Compatil Fact LT Pro" w:eastAsiaTheme="minorHAnsi" w:hAnsi="Compatil Fact LT Pro" w:cstheme="majorHAnsi"/>
          <w:color w:val="auto"/>
          <w:sz w:val="16"/>
          <w:szCs w:val="16"/>
          <w:lang w:val="en-AU" w:eastAsia="en-AU"/>
        </w:rPr>
        <w:t>as a result of</w:t>
      </w:r>
      <w:proofErr w:type="gramEnd"/>
      <w:r w:rsidRPr="005F1509">
        <w:rPr>
          <w:rFonts w:ascii="Compatil Fact LT Pro" w:eastAsiaTheme="minorHAnsi" w:hAnsi="Compatil Fact LT Pro" w:cstheme="majorHAnsi"/>
          <w:color w:val="auto"/>
          <w:sz w:val="16"/>
          <w:szCs w:val="16"/>
          <w:lang w:val="en-AU" w:eastAsia="en-AU"/>
        </w:rPr>
        <w:t xml:space="preserve"> reliance on this information.</w:t>
      </w:r>
    </w:p>
    <w:p w14:paraId="3871C01F" w14:textId="77777777" w:rsidR="00F012E3" w:rsidRPr="005F1509" w:rsidRDefault="00F012E3" w:rsidP="00F012E3">
      <w:pPr>
        <w:autoSpaceDE w:val="0"/>
        <w:autoSpaceDN w:val="0"/>
        <w:snapToGrid w:val="0"/>
        <w:rPr>
          <w:rFonts w:ascii="Compatil Fact LT Pro" w:eastAsiaTheme="minorHAnsi" w:hAnsi="Compatil Fact LT Pro" w:cstheme="majorHAnsi"/>
          <w:color w:val="auto"/>
          <w:sz w:val="16"/>
          <w:szCs w:val="16"/>
          <w:lang w:val="en-AU" w:eastAsia="en-AU"/>
        </w:rPr>
      </w:pPr>
      <w:r w:rsidRPr="005F1509">
        <w:rPr>
          <w:rFonts w:ascii="Compatil Fact LT Pro" w:eastAsiaTheme="minorHAnsi" w:hAnsi="Compatil Fact LT Pro" w:cstheme="majorHAnsi"/>
          <w:color w:val="auto"/>
          <w:sz w:val="16"/>
          <w:szCs w:val="16"/>
          <w:lang w:val="en-AU" w:eastAsia="en-AU"/>
        </w:rPr>
        <w:t xml:space="preserve">This material does not constitute professional advice or opinion and is not intended to be used as the basis for making an investment decision. </w:t>
      </w:r>
    </w:p>
    <w:p w14:paraId="38C61608" w14:textId="310760C5" w:rsidR="00483711" w:rsidRDefault="00F012E3" w:rsidP="00D95644">
      <w:pPr>
        <w:autoSpaceDE w:val="0"/>
        <w:autoSpaceDN w:val="0"/>
        <w:snapToGrid w:val="0"/>
      </w:pPr>
      <w:r w:rsidRPr="005F1509">
        <w:rPr>
          <w:rFonts w:ascii="Compatil Fact LT Pro" w:eastAsiaTheme="minorHAnsi" w:hAnsi="Compatil Fact LT Pro" w:cstheme="majorHAnsi"/>
          <w:color w:val="auto"/>
          <w:sz w:val="16"/>
          <w:szCs w:val="16"/>
          <w:lang w:val="en-AU" w:eastAsia="en-AU"/>
        </w:rPr>
        <w:t>This work is copyright 202</w:t>
      </w:r>
      <w:r>
        <w:rPr>
          <w:rFonts w:ascii="Compatil Fact LT Pro" w:eastAsiaTheme="minorHAnsi" w:hAnsi="Compatil Fact LT Pro" w:cstheme="majorHAnsi"/>
          <w:color w:val="auto"/>
          <w:sz w:val="16"/>
          <w:szCs w:val="16"/>
          <w:lang w:val="en-AU" w:eastAsia="en-AU"/>
        </w:rPr>
        <w:t>4</w:t>
      </w:r>
      <w:r w:rsidRPr="005F1509">
        <w:rPr>
          <w:rFonts w:ascii="Compatil Fact LT Pro" w:eastAsiaTheme="minorHAnsi" w:hAnsi="Compatil Fact LT Pro" w:cstheme="majorHAnsi"/>
          <w:color w:val="auto"/>
          <w:sz w:val="16"/>
          <w:szCs w:val="16"/>
          <w:lang w:val="en-AU" w:eastAsia="en-AU"/>
        </w:rPr>
        <w:t xml:space="preserve">. Apart from any use permitted under the Copyright Act 1968, no part may be reproduced by any process, nor may any other exclusive right be exercised, without the permission of Russell Investment Management Ltd. </w:t>
      </w:r>
    </w:p>
    <w:sectPr w:rsidR="00483711" w:rsidSect="002713DF">
      <w:headerReference w:type="default" r:id="rId13"/>
      <w:footerReference w:type="default" r:id="rId14"/>
      <w:type w:val="continuous"/>
      <w:pgSz w:w="11907" w:h="16840" w:code="9"/>
      <w:pgMar w:top="1135" w:right="794" w:bottom="1440" w:left="794"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EDF9" w14:textId="77777777" w:rsidR="009545CE" w:rsidRDefault="009545CE">
      <w:pPr>
        <w:spacing w:after="0"/>
        <w:rPr>
          <w:color w:val="79BDE8" w:themeColor="background2"/>
        </w:rPr>
      </w:pPr>
      <w:r>
        <w:rPr>
          <w:color w:val="79BDE8" w:themeColor="background2"/>
        </w:rPr>
        <w:separator/>
      </w:r>
    </w:p>
  </w:endnote>
  <w:endnote w:type="continuationSeparator" w:id="0">
    <w:p w14:paraId="01FE8631" w14:textId="77777777" w:rsidR="009545CE" w:rsidRDefault="009545CE">
      <w:pPr>
        <w:spacing w:after="0"/>
        <w:rPr>
          <w:color w:val="79BDE8" w:themeColor="background2"/>
        </w:rPr>
      </w:pPr>
      <w:r>
        <w:rPr>
          <w:color w:val="79BDE8" w:themeColor="background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mpatil Fact LT Pro">
    <w:altName w:val="Calibri"/>
    <w:panose1 w:val="020B0503050505020203"/>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F7EE" w14:textId="325DC6DC" w:rsidR="005C1CEF" w:rsidRDefault="0018045A">
    <w:pPr>
      <w:pStyle w:val="Footer"/>
      <w:tabs>
        <w:tab w:val="clear" w:pos="10620"/>
        <w:tab w:val="right" w:pos="10319"/>
      </w:tabs>
    </w:pPr>
    <w:r w:rsidRPr="009C6AAE">
      <w:rPr>
        <w:b/>
        <w:noProof/>
      </w:rPr>
      <mc:AlternateContent>
        <mc:Choice Requires="wps">
          <w:drawing>
            <wp:anchor distT="45720" distB="45720" distL="114300" distR="114300" simplePos="0" relativeHeight="251659264" behindDoc="0" locked="0" layoutInCell="1" allowOverlap="1" wp14:anchorId="45EA4D50" wp14:editId="1378CF24">
              <wp:simplePos x="0" y="0"/>
              <wp:positionH relativeFrom="page">
                <wp:posOffset>4015141</wp:posOffset>
              </wp:positionH>
              <wp:positionV relativeFrom="paragraph">
                <wp:posOffset>157863</wp:posOffset>
              </wp:positionV>
              <wp:extent cx="340995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5750"/>
                      </a:xfrm>
                      <a:prstGeom prst="rect">
                        <a:avLst/>
                      </a:prstGeom>
                      <a:noFill/>
                      <a:ln w="9525">
                        <a:noFill/>
                        <a:miter lim="800000"/>
                        <a:headEnd/>
                        <a:tailEnd/>
                      </a:ln>
                    </wps:spPr>
                    <wps:txbx>
                      <w:txbxContent>
                        <w:p w14:paraId="25B8E020" w14:textId="77777777" w:rsidR="0018045A" w:rsidRPr="009C6AAE" w:rsidRDefault="0018045A" w:rsidP="0018045A">
                          <w:pPr>
                            <w:jc w:val="right"/>
                            <w:rPr>
                              <w:color w:val="auto"/>
                              <w:sz w:val="16"/>
                              <w:szCs w:val="16"/>
                            </w:rPr>
                          </w:pPr>
                          <w:r w:rsidRPr="009C6AAE">
                            <w:rPr>
                              <w:color w:val="auto"/>
                              <w:sz w:val="16"/>
                              <w:szCs w:val="16"/>
                            </w:rPr>
                            <w:t>FOR FINANCIAL PROFESSIONAL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A4D50" id="_x0000_t202" coordsize="21600,21600" o:spt="202" path="m,l,21600r21600,l21600,xe">
              <v:stroke joinstyle="miter"/>
              <v:path gradientshapeok="t" o:connecttype="rect"/>
            </v:shapetype>
            <v:shape id="Text Box 2" o:spid="_x0000_s1026" type="#_x0000_t202" style="position:absolute;margin-left:316.15pt;margin-top:12.45pt;width:268.5pt;height:2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cf9gEAAM0DAAAOAAAAZHJzL2Uyb0RvYy54bWysU8tu2zAQvBfoPxC815Jdu7EFy0GaNEWB&#10;9AGk/QCaoiyiJJdd0pbcr8+SchyjvRXVgdjVksOd2eH6erCGHRQGDa7m00nJmXISGu12Nf/x/f7N&#10;krMQhWuEAadqflSBX29ev1r3vlIz6MA0ChmBuFD1vuZdjL4qiiA7ZUWYgFeOii2gFZFS3BUNip7Q&#10;rSlmZfmu6AEbjyBVCPT3bizyTcZvWyXj17YNKjJTc+ot5hXzuk1rsVmLaofCd1qe2hD/0IUV2tGl&#10;Z6g7EQXbo/4LymqJEKCNEwm2gLbVUmUOxGZa/sHmsRNeZS4kTvBnmcL/g5VfDo/+G7I4vIeBBphJ&#10;BP8A8mdgDm474XbqBhH6TomGLp4myYreh+p0NEkdqpBAtv1naGjIYh8hAw0t2qQK8WSETgM4nkVX&#10;Q2SSfr6dl6vVgkqSarPl4oridIWonk97DPGjAstSUHOkoWZ0cXgIcdz6vCVd5uBeG5MHaxzra75a&#10;zBb5wEXF6ki+M9rWfFmmb3RCIvnBNflwFNqMMfVi3Il1IjpSjsN2oI2J/RaaI/FHGP1F74GCDvA3&#10;Zz15q+bh116g4sx8cqThajqfJzPmZL64mlGCl5XtZUU4SVA1j5yN4W3MBh653pDWrc4yvHRy6pU8&#10;k4U8+TuZ8jLPu15e4eYJAAD//wMAUEsDBBQABgAIAAAAIQCNaRNd3QAAAAoBAAAPAAAAZHJzL2Rv&#10;d25yZXYueG1sTI9NT8MwDIbvSPyHyEjcWLJuVKQ0nRCIK4jxIXHLGq+taJyqydby7/FO7Gi/j14/&#10;Ljez78URx9gFMrBcKBBIdXAdNQY+3p9v7kDEZMnZPhAa+MUIm+ryorSFCxO94XGbGsElFAtroE1p&#10;KKSMdYvexkUYkDjbh9HbxOPYSDfaict9LzOlcultR3yhtQM+tlj/bA/ewOfL/vtrrV6bJ387TGFW&#10;kryWxlxfzQ/3IBLO6R+Gkz6rQ8VOu3AgF0VvIF9lK0YNZGsN4gQsc82bHUdag6xKef5C9QcAAP//&#10;AwBQSwECLQAUAAYACAAAACEAtoM4kv4AAADhAQAAEwAAAAAAAAAAAAAAAAAAAAAAW0NvbnRlbnRf&#10;VHlwZXNdLnhtbFBLAQItABQABgAIAAAAIQA4/SH/1gAAAJQBAAALAAAAAAAAAAAAAAAAAC8BAABf&#10;cmVscy8ucmVsc1BLAQItABQABgAIAAAAIQCWlmcf9gEAAM0DAAAOAAAAAAAAAAAAAAAAAC4CAABk&#10;cnMvZTJvRG9jLnhtbFBLAQItABQABgAIAAAAIQCNaRNd3QAAAAoBAAAPAAAAAAAAAAAAAAAAAFAE&#10;AABkcnMvZG93bnJldi54bWxQSwUGAAAAAAQABADzAAAAWgUAAAAA&#10;" filled="f" stroked="f">
              <v:textbox>
                <w:txbxContent>
                  <w:p w14:paraId="25B8E020" w14:textId="77777777" w:rsidR="0018045A" w:rsidRPr="009C6AAE" w:rsidRDefault="0018045A" w:rsidP="0018045A">
                    <w:pPr>
                      <w:jc w:val="right"/>
                      <w:rPr>
                        <w:color w:val="auto"/>
                        <w:sz w:val="16"/>
                        <w:szCs w:val="16"/>
                      </w:rPr>
                    </w:pPr>
                    <w:r w:rsidRPr="009C6AAE">
                      <w:rPr>
                        <w:color w:val="auto"/>
                        <w:sz w:val="16"/>
                        <w:szCs w:val="16"/>
                      </w:rPr>
                      <w:t>FOR FINANCIAL PROFESSIONAL USE ONLY</w:t>
                    </w:r>
                  </w:p>
                </w:txbxContent>
              </v:textbox>
              <w10:wrap anchorx="page"/>
            </v:shape>
          </w:pict>
        </mc:Fallback>
      </mc:AlternateContent>
    </w:r>
    <w:r w:rsidR="005C1CEF">
      <w:rPr>
        <w:b/>
      </w:rPr>
      <w:t>Russell Investments</w:t>
    </w:r>
    <w:r w:rsidR="005C1CEF">
      <w:t xml:space="preserve"> / Manag</w:t>
    </w:r>
    <w:r w:rsidR="00FB583B">
      <w:rPr>
        <w:noProof/>
      </w:rPr>
      <w:drawing>
        <wp:anchor distT="0" distB="0" distL="114300" distR="114300" simplePos="0" relativeHeight="251667456" behindDoc="0" locked="1" layoutInCell="1" allowOverlap="1" wp14:anchorId="52A2BD10" wp14:editId="692A4EC7">
          <wp:simplePos x="0" y="0"/>
          <wp:positionH relativeFrom="page">
            <wp:posOffset>12065</wp:posOffset>
          </wp:positionH>
          <wp:positionV relativeFrom="page">
            <wp:posOffset>9782175</wp:posOffset>
          </wp:positionV>
          <wp:extent cx="7561580" cy="91440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1580" cy="914400"/>
                  </a:xfrm>
                  <a:prstGeom prst="rect">
                    <a:avLst/>
                  </a:prstGeom>
                </pic:spPr>
              </pic:pic>
            </a:graphicData>
          </a:graphic>
          <wp14:sizeRelH relativeFrom="margin">
            <wp14:pctWidth>0</wp14:pctWidth>
          </wp14:sizeRelH>
          <wp14:sizeRelV relativeFrom="margin">
            <wp14:pctHeight>0</wp14:pctHeight>
          </wp14:sizeRelV>
        </wp:anchor>
      </w:drawing>
    </w:r>
    <w:r w:rsidR="005C1CEF">
      <w:t>ed Portfolios</w:t>
    </w:r>
    <w:r w:rsidR="005C1CEF">
      <w:tab/>
      <w:t xml:space="preserve">/ </w:t>
    </w:r>
    <w:r w:rsidR="005C1CEF">
      <w:rPr>
        <w:noProof/>
      </w:rPr>
      <w:fldChar w:fldCharType="begin"/>
    </w:r>
    <w:r w:rsidR="005C1CEF">
      <w:rPr>
        <w:noProof/>
      </w:rPr>
      <w:instrText xml:space="preserve"> PAGE   \* MERGEFORMAT </w:instrText>
    </w:r>
    <w:r w:rsidR="005C1CEF">
      <w:rPr>
        <w:noProof/>
      </w:rPr>
      <w:fldChar w:fldCharType="separate"/>
    </w:r>
    <w:r w:rsidR="005C1CEF">
      <w:rPr>
        <w:noProof/>
      </w:rPr>
      <w:t>5</w:t>
    </w:r>
    <w:r w:rsidR="005C1C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1032" w14:textId="23921E2D" w:rsidR="00FB583B" w:rsidRDefault="00FB583B" w:rsidP="00E05E86">
    <w:pPr>
      <w:pStyle w:val="Footer"/>
      <w:tabs>
        <w:tab w:val="right" w:pos="10319"/>
      </w:tabs>
    </w:pPr>
    <w:r w:rsidRPr="009C6AAE">
      <w:rPr>
        <w:b/>
        <w:noProof/>
      </w:rPr>
      <mc:AlternateContent>
        <mc:Choice Requires="wps">
          <w:drawing>
            <wp:anchor distT="45720" distB="45720" distL="114300" distR="114300" simplePos="0" relativeHeight="251665408" behindDoc="0" locked="0" layoutInCell="1" allowOverlap="1" wp14:anchorId="5A4E1B90" wp14:editId="01845582">
              <wp:simplePos x="0" y="0"/>
              <wp:positionH relativeFrom="page">
                <wp:posOffset>4015141</wp:posOffset>
              </wp:positionH>
              <wp:positionV relativeFrom="paragraph">
                <wp:posOffset>157863</wp:posOffset>
              </wp:positionV>
              <wp:extent cx="3409950" cy="2857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5750"/>
                      </a:xfrm>
                      <a:prstGeom prst="rect">
                        <a:avLst/>
                      </a:prstGeom>
                      <a:noFill/>
                      <a:ln w="9525">
                        <a:noFill/>
                        <a:miter lim="800000"/>
                        <a:headEnd/>
                        <a:tailEnd/>
                      </a:ln>
                    </wps:spPr>
                    <wps:txbx>
                      <w:txbxContent>
                        <w:p w14:paraId="197195AE" w14:textId="77777777" w:rsidR="00FB583B" w:rsidRPr="009C6AAE" w:rsidRDefault="00FB583B" w:rsidP="0018045A">
                          <w:pPr>
                            <w:jc w:val="right"/>
                            <w:rPr>
                              <w:color w:val="auto"/>
                              <w:sz w:val="16"/>
                              <w:szCs w:val="16"/>
                            </w:rPr>
                          </w:pPr>
                          <w:r w:rsidRPr="009C6AAE">
                            <w:rPr>
                              <w:color w:val="auto"/>
                              <w:sz w:val="16"/>
                              <w:szCs w:val="16"/>
                            </w:rPr>
                            <w:t>FOR FINANCIAL PROFESSIONAL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E1B90" id="_x0000_t202" coordsize="21600,21600" o:spt="202" path="m,l,21600r21600,l21600,xe">
              <v:stroke joinstyle="miter"/>
              <v:path gradientshapeok="t" o:connecttype="rect"/>
            </v:shapetype>
            <v:shape id="_x0000_s1027" type="#_x0000_t202" style="position:absolute;margin-left:316.15pt;margin-top:12.45pt;width:268.5pt;height:2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k5+QEAANQDAAAOAAAAZHJzL2Uyb0RvYy54bWysU9uO2yAQfa/Uf0C8N3bcuJtYcVbb3W5V&#10;aXuRtv0AjHGMCgwFEjv9+h2wNxu1b1X9gGY8cJhz5rC9HrUiR+G8BFPT5SKnRBgOrTT7mv74fv9m&#10;TYkPzLRMgRE1PQlPr3evX20HW4kCelCtcARBjK8GW9M+BFtlmee90MwvwAqDxQ6cZgFTt89axwZE&#10;1yor8vxdNoBrrQMuvMe/d1OR7hJ+1wkevnadF4GommJvIa0urU1cs92WVXvHbC/53Ab7hy40kwYv&#10;PUPdscDIwcm/oLTkDjx0YcFBZ9B1kovEAdks8z/YPPbMisQFxfH2LJP/f7D8y/HRfnMkjO9hxAEm&#10;Et4+AP/piYHbnpm9uHEOhl6wFi9eRsmywfpqPhql9pWPIM3wGVocMjsESEBj53RUBXkSRMcBnM6i&#10;izEQjj/frvLNpsQSx1qxLq8wjlew6vm0dT58FKBJDGrqcKgJnR0ffJi2Pm+Jlxm4l0qlwSpDhppu&#10;yqJMBy4qWgb0nZK6pus8fpMTIskPpk2HA5NqirEXZWbWkehEOYzNSGQ7SxJFaKA9oQwOJpvhs8Cg&#10;B/ebkgEtVlP/68CcoER9MijlZrlaRU+mZFVeFZi4y0pzWWGGI1RNAyVTeBuSjyfKNyh5J5MaL53M&#10;LaN1kp6zzaM3L/O06+Ux7p4AAAD//wMAUEsDBBQABgAIAAAAIQCNaRNd3QAAAAoBAAAPAAAAZHJz&#10;L2Rvd25yZXYueG1sTI9NT8MwDIbvSPyHyEjcWLJuVKQ0nRCIK4jxIXHLGq+taJyqydby7/FO7Gi/&#10;j14/Ljez78URx9gFMrBcKBBIdXAdNQY+3p9v7kDEZMnZPhAa+MUIm+ryorSFCxO94XGbGsElFAtr&#10;oE1pKKSMdYvexkUYkDjbh9HbxOPYSDfaict9LzOlcultR3yhtQM+tlj/bA/ewOfL/vtrrV6bJ387&#10;TGFWkryWxlxfzQ/3IBLO6R+Gkz6rQ8VOu3AgF0VvIF9lK0YNZGsN4gQsc82bHUdag6xKef5C9QcA&#10;AP//AwBQSwECLQAUAAYACAAAACEAtoM4kv4AAADhAQAAEwAAAAAAAAAAAAAAAAAAAAAAW0NvbnRl&#10;bnRfVHlwZXNdLnhtbFBLAQItABQABgAIAAAAIQA4/SH/1gAAAJQBAAALAAAAAAAAAAAAAAAAAC8B&#10;AABfcmVscy8ucmVsc1BLAQItABQABgAIAAAAIQDgyFk5+QEAANQDAAAOAAAAAAAAAAAAAAAAAC4C&#10;AABkcnMvZTJvRG9jLnhtbFBLAQItABQABgAIAAAAIQCNaRNd3QAAAAoBAAAPAAAAAAAAAAAAAAAA&#10;AFMEAABkcnMvZG93bnJldi54bWxQSwUGAAAAAAQABADzAAAAXQUAAAAA&#10;" filled="f" stroked="f">
              <v:textbox>
                <w:txbxContent>
                  <w:p w14:paraId="197195AE" w14:textId="77777777" w:rsidR="00FB583B" w:rsidRPr="009C6AAE" w:rsidRDefault="00FB583B" w:rsidP="0018045A">
                    <w:pPr>
                      <w:jc w:val="right"/>
                      <w:rPr>
                        <w:color w:val="auto"/>
                        <w:sz w:val="16"/>
                        <w:szCs w:val="16"/>
                      </w:rPr>
                    </w:pPr>
                    <w:r w:rsidRPr="009C6AAE">
                      <w:rPr>
                        <w:color w:val="auto"/>
                        <w:sz w:val="16"/>
                        <w:szCs w:val="16"/>
                      </w:rPr>
                      <w:t>FOR FINANCIAL PROFESSIONAL USE ONLY</w:t>
                    </w:r>
                  </w:p>
                </w:txbxContent>
              </v:textbox>
              <w10:wrap anchorx="page"/>
            </v:shape>
          </w:pict>
        </mc:Fallback>
      </mc:AlternateContent>
    </w:r>
    <w:r>
      <w:rPr>
        <w:b/>
      </w:rPr>
      <w:t>Russell Investments</w:t>
    </w:r>
    <w:r>
      <w:t xml:space="preserve"> / </w:t>
    </w:r>
    <w:r w:rsidR="005F1509">
      <w:t>Managed Portfolios</w:t>
    </w:r>
    <w:r>
      <w:tab/>
      <w:t xml:space="preserve">/ </w:t>
    </w:r>
    <w:r>
      <w:rPr>
        <w:noProof/>
      </w:rPr>
      <w:fldChar w:fldCharType="begin"/>
    </w:r>
    <w:r>
      <w:rPr>
        <w:noProof/>
      </w:rPr>
      <w:instrText xml:space="preserve"> PAGE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4AB9" w14:textId="77777777" w:rsidR="009545CE" w:rsidRDefault="009545CE">
      <w:pPr>
        <w:spacing w:after="0"/>
        <w:rPr>
          <w:color w:val="79BDE8" w:themeColor="background2"/>
        </w:rPr>
      </w:pPr>
      <w:r>
        <w:rPr>
          <w:color w:val="79BDE8" w:themeColor="background2"/>
        </w:rPr>
        <w:separator/>
      </w:r>
    </w:p>
  </w:footnote>
  <w:footnote w:type="continuationSeparator" w:id="0">
    <w:p w14:paraId="3D3B17BC" w14:textId="77777777" w:rsidR="009545CE" w:rsidRDefault="009545CE">
      <w:pPr>
        <w:spacing w:after="0"/>
        <w:rPr>
          <w:color w:val="79BDE8" w:themeColor="background2"/>
        </w:rPr>
      </w:pPr>
      <w:r>
        <w:rPr>
          <w:color w:val="79BDE8" w:themeColor="background2"/>
        </w:rPr>
        <w:continuationSeparator/>
      </w:r>
    </w:p>
  </w:footnote>
  <w:footnote w:id="1">
    <w:p w14:paraId="12C225CF" w14:textId="77777777" w:rsidR="004A0554" w:rsidRPr="007B3E18" w:rsidRDefault="004A0554" w:rsidP="004A0554">
      <w:pPr>
        <w:pStyle w:val="Tablegraphintrocopy"/>
        <w:rPr>
          <w:rFonts w:ascii="Arial" w:hAnsi="Arial" w:cs="Arial"/>
          <w:color w:val="auto"/>
          <w:szCs w:val="16"/>
        </w:rPr>
      </w:pPr>
      <w:r w:rsidRPr="007B3E18">
        <w:rPr>
          <w:rStyle w:val="FootnoteReference"/>
          <w:rFonts w:ascii="Arial" w:hAnsi="Arial" w:cs="Arial"/>
          <w:szCs w:val="16"/>
        </w:rPr>
        <w:footnoteRef/>
      </w:r>
      <w:r w:rsidRPr="007B3E18">
        <w:rPr>
          <w:rFonts w:ascii="Arial" w:hAnsi="Arial" w:cs="Arial"/>
          <w:szCs w:val="16"/>
        </w:rPr>
        <w:t xml:space="preserve"> </w:t>
      </w:r>
      <w:r w:rsidRPr="007B3E18">
        <w:rPr>
          <w:rFonts w:ascii="Compatil Fact LT Pro" w:eastAsiaTheme="minorHAnsi" w:hAnsi="Compatil Fact LT Pro" w:cstheme="majorHAnsi"/>
          <w:color w:val="auto"/>
          <w:spacing w:val="0"/>
          <w:szCs w:val="16"/>
          <w:lang w:val="en-AU" w:eastAsia="en-AU"/>
        </w:rPr>
        <w:t>Asset class breakdown is based on the model and may vary slightly depending on the Platform.</w:t>
      </w:r>
    </w:p>
    <w:p w14:paraId="3D31263B" w14:textId="77777777" w:rsidR="004A0554" w:rsidRPr="004F2818" w:rsidRDefault="004A0554" w:rsidP="004A0554">
      <w:pPr>
        <w:pStyle w:val="FootnoteText"/>
        <w:rPr>
          <w:lang w:val="en-AU"/>
        </w:rPr>
      </w:pPr>
    </w:p>
  </w:footnote>
  <w:footnote w:id="2">
    <w:p w14:paraId="15C5BE6F" w14:textId="4A7FF06A" w:rsidR="007B3E18" w:rsidRPr="007B3E18" w:rsidRDefault="007B3E18">
      <w:pPr>
        <w:pStyle w:val="FootnoteText"/>
        <w:rPr>
          <w:rFonts w:ascii="Compatil Fact LT Pro" w:eastAsiaTheme="minorHAnsi" w:hAnsi="Compatil Fact LT Pro" w:cstheme="majorHAnsi"/>
          <w:color w:val="auto"/>
          <w:sz w:val="16"/>
          <w:szCs w:val="16"/>
          <w:lang w:val="en-AU" w:eastAsia="en-AU"/>
        </w:rPr>
      </w:pPr>
      <w:r w:rsidRPr="007B3E18">
        <w:rPr>
          <w:rStyle w:val="FootnoteReference"/>
          <w:sz w:val="16"/>
          <w:szCs w:val="16"/>
        </w:rPr>
        <w:footnoteRef/>
      </w:r>
      <w:r w:rsidRPr="007B3E18">
        <w:rPr>
          <w:sz w:val="16"/>
          <w:szCs w:val="16"/>
        </w:rPr>
        <w:t xml:space="preserve"> </w:t>
      </w:r>
      <w:r w:rsidRPr="007B3E18">
        <w:rPr>
          <w:rFonts w:ascii="Compatil Fact LT Pro" w:eastAsiaTheme="minorHAnsi" w:hAnsi="Compatil Fact LT Pro" w:cstheme="majorHAnsi"/>
          <w:color w:val="auto"/>
          <w:sz w:val="16"/>
          <w:szCs w:val="16"/>
          <w:lang w:val="en-AU" w:eastAsia="en-AU"/>
        </w:rPr>
        <w:t>Actual trade dates may vary between platforms.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B20D" w14:textId="5BAB15FD" w:rsidR="00FB583B" w:rsidRDefault="00C305FD" w:rsidP="00FB583B">
    <w:pPr>
      <w:pStyle w:val="Header"/>
      <w:pBdr>
        <w:top w:val="none" w:sz="0" w:space="0" w:color="auto"/>
      </w:pBdr>
    </w:pPr>
    <w:bookmarkStart w:id="0" w:name="_Hlk123809019"/>
    <w:r>
      <w:rPr>
        <w:noProof/>
      </w:rPr>
      <w:drawing>
        <wp:anchor distT="0" distB="0" distL="114300" distR="114300" simplePos="0" relativeHeight="251659776" behindDoc="1" locked="1" layoutInCell="1" allowOverlap="1" wp14:anchorId="4D777EF9" wp14:editId="1CB297C9">
          <wp:simplePos x="0" y="0"/>
          <wp:positionH relativeFrom="page">
            <wp:posOffset>8890</wp:posOffset>
          </wp:positionH>
          <wp:positionV relativeFrom="page">
            <wp:align>top</wp:align>
          </wp:positionV>
          <wp:extent cx="7766685" cy="1827530"/>
          <wp:effectExtent l="0" t="0" r="5715" b="127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extLst>
                      <a:ext uri="{28A0092B-C50C-407E-A947-70E740481C1C}">
                        <a14:useLocalDpi xmlns:a14="http://schemas.microsoft.com/office/drawing/2010/main" val="0"/>
                      </a:ext>
                    </a:extLst>
                  </a:blip>
                  <a:stretch>
                    <a:fillRect/>
                  </a:stretch>
                </pic:blipFill>
                <pic:spPr>
                  <a:xfrm>
                    <a:off x="0" y="0"/>
                    <a:ext cx="7766685" cy="1827530"/>
                  </a:xfrm>
                  <a:prstGeom prst="rect">
                    <a:avLst/>
                  </a:prstGeom>
                </pic:spPr>
              </pic:pic>
            </a:graphicData>
          </a:graphic>
          <wp14:sizeRelH relativeFrom="margin">
            <wp14:pctWidth>0</wp14:pctWidth>
          </wp14:sizeRelH>
          <wp14:sizeRelV relativeFrom="margin">
            <wp14:pctHeight>0</wp14:pctHeight>
          </wp14:sizeRelV>
        </wp:anchor>
      </w:drawing>
    </w:r>
    <w:bookmarkEnd w:id="0"/>
    <w:r w:rsidR="00FB583B">
      <w:rPr>
        <w:noProof/>
        <w:sz w:val="8"/>
      </w:rPr>
      <w:drawing>
        <wp:anchor distT="0" distB="0" distL="114300" distR="114300" simplePos="0" relativeHeight="251658752" behindDoc="1" locked="1" layoutInCell="1" allowOverlap="1" wp14:anchorId="27B46E42" wp14:editId="055627C8">
          <wp:simplePos x="0" y="0"/>
          <wp:positionH relativeFrom="page">
            <wp:posOffset>11430</wp:posOffset>
          </wp:positionH>
          <wp:positionV relativeFrom="page">
            <wp:posOffset>1366520</wp:posOffset>
          </wp:positionV>
          <wp:extent cx="7772400" cy="1206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rcRect t="15876" b="15876"/>
                  <a:stretch>
                    <a:fillRect/>
                  </a:stretch>
                </pic:blipFill>
                <pic:spPr bwMode="auto">
                  <a:xfrm>
                    <a:off x="0" y="0"/>
                    <a:ext cx="7772400" cy="12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583B">
      <w:rPr>
        <w:noProof/>
      </w:rPr>
      <w:drawing>
        <wp:anchor distT="0" distB="0" distL="114300" distR="114300" simplePos="0" relativeHeight="251656704" behindDoc="1" locked="1" layoutInCell="1" allowOverlap="1" wp14:anchorId="7E3025EF" wp14:editId="21BE9955">
          <wp:simplePos x="0" y="0"/>
          <wp:positionH relativeFrom="page">
            <wp:posOffset>5572125</wp:posOffset>
          </wp:positionH>
          <wp:positionV relativeFrom="page">
            <wp:posOffset>470535</wp:posOffset>
          </wp:positionV>
          <wp:extent cx="1445260" cy="330200"/>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4526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3DEE" w14:textId="77777777" w:rsidR="00FB583B" w:rsidRDefault="00FB5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FA3C96"/>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A86332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9162E23E"/>
    <w:lvl w:ilvl="0">
      <w:start w:val="1"/>
      <w:numFmt w:val="decimal"/>
      <w:lvlText w:val="%1."/>
      <w:lvlJc w:val="left"/>
      <w:pPr>
        <w:tabs>
          <w:tab w:val="num" w:pos="360"/>
        </w:tabs>
        <w:ind w:left="360" w:hanging="360"/>
      </w:pPr>
    </w:lvl>
  </w:abstractNum>
  <w:abstractNum w:abstractNumId="3" w15:restartNumberingAfterBreak="0">
    <w:nsid w:val="12C94FA5"/>
    <w:multiLevelType w:val="multilevel"/>
    <w:tmpl w:val="0409001F"/>
    <w:styleLink w:val="Decimaloutlin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94489"/>
    <w:multiLevelType w:val="hybridMultilevel"/>
    <w:tmpl w:val="DBA6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35947"/>
    <w:multiLevelType w:val="hybridMultilevel"/>
    <w:tmpl w:val="C1241B5A"/>
    <w:lvl w:ilvl="0" w:tplc="15DE50A8">
      <w:start w:val="1"/>
      <w:numFmt w:val="decimal"/>
      <w:lvlText w:val="%1."/>
      <w:lvlJc w:val="left"/>
      <w:pPr>
        <w:ind w:left="360" w:hanging="360"/>
      </w:pPr>
      <w:rPr>
        <w:rFonts w:hint="default"/>
        <w:b/>
        <w:color w:val="005B7D"/>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250A1B"/>
    <w:multiLevelType w:val="multilevel"/>
    <w:tmpl w:val="88F6AD52"/>
    <w:styleLink w:val="Bulletsymbols"/>
    <w:lvl w:ilvl="0">
      <w:start w:val="1"/>
      <w:numFmt w:val="bullet"/>
      <w:lvlText w:val=""/>
      <w:lvlJc w:val="left"/>
      <w:pPr>
        <w:ind w:left="360" w:hanging="360"/>
      </w:pPr>
      <w:rPr>
        <w:rFonts w:ascii="Symbol" w:hAnsi="Symbol"/>
        <w:color w:val="79BDE8" w:themeColor="background2"/>
        <w:position w:val="2"/>
        <w:sz w:val="18"/>
      </w:rPr>
    </w:lvl>
    <w:lvl w:ilvl="1">
      <w:start w:val="1"/>
      <w:numFmt w:val="bullet"/>
      <w:lvlText w:val=""/>
      <w:lvlJc w:val="left"/>
      <w:pPr>
        <w:ind w:left="720" w:hanging="360"/>
      </w:pPr>
      <w:rPr>
        <w:rFonts w:ascii="Symbol" w:hAnsi="Symbol"/>
        <w:color w:val="79BDE8" w:themeColor="background2"/>
        <w:position w:val="2"/>
        <w:sz w:val="18"/>
      </w:rPr>
    </w:lvl>
    <w:lvl w:ilvl="2">
      <w:start w:val="1"/>
      <w:numFmt w:val="bullet"/>
      <w:lvlText w:val=""/>
      <w:lvlJc w:val="left"/>
      <w:pPr>
        <w:ind w:left="1080" w:hanging="360"/>
      </w:pPr>
      <w:rPr>
        <w:rFonts w:ascii="Symbol" w:hAnsi="Symbol"/>
        <w:color w:val="79BDE8" w:themeColor="background2"/>
        <w:position w:val="2"/>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881E5B"/>
    <w:multiLevelType w:val="hybridMultilevel"/>
    <w:tmpl w:val="F0604B8C"/>
    <w:lvl w:ilvl="0" w:tplc="8A24FD8C">
      <w:start w:val="1"/>
      <w:numFmt w:val="bullet"/>
      <w:pStyle w:val="Bulletlistcopy"/>
      <w:lvlText w:val=""/>
      <w:lvlJc w:val="left"/>
      <w:pPr>
        <w:ind w:left="720" w:hanging="360"/>
      </w:pPr>
      <w:rPr>
        <w:rFonts w:ascii="Symbol" w:hAnsi="Symbol" w:hint="default"/>
        <w:color w:val="79BDE8"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61808"/>
    <w:multiLevelType w:val="hybridMultilevel"/>
    <w:tmpl w:val="5518DD4A"/>
    <w:lvl w:ilvl="0" w:tplc="66B0DE34">
      <w:start w:val="1"/>
      <w:numFmt w:val="bullet"/>
      <w:lvlText w:val=""/>
      <w:lvlJc w:val="left"/>
      <w:pPr>
        <w:ind w:left="720" w:hanging="360"/>
      </w:pPr>
      <w:rPr>
        <w:rFonts w:ascii="Symbol" w:hAnsi="Symbol" w:hint="default"/>
        <w:color w:val="F57E2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72AC3"/>
    <w:multiLevelType w:val="hybridMultilevel"/>
    <w:tmpl w:val="55F64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EF11357"/>
    <w:multiLevelType w:val="hybridMultilevel"/>
    <w:tmpl w:val="2F74D4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DF0A31"/>
    <w:multiLevelType w:val="hybridMultilevel"/>
    <w:tmpl w:val="435ED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116F78"/>
    <w:multiLevelType w:val="hybridMultilevel"/>
    <w:tmpl w:val="E168D7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F17327"/>
    <w:multiLevelType w:val="hybridMultilevel"/>
    <w:tmpl w:val="C4AE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B3A53"/>
    <w:multiLevelType w:val="hybridMultilevel"/>
    <w:tmpl w:val="A1C0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49629F"/>
    <w:multiLevelType w:val="hybridMultilevel"/>
    <w:tmpl w:val="2A94CD10"/>
    <w:lvl w:ilvl="0" w:tplc="66B0DE34">
      <w:start w:val="1"/>
      <w:numFmt w:val="bullet"/>
      <w:lvlText w:val=""/>
      <w:lvlJc w:val="left"/>
      <w:pPr>
        <w:ind w:left="1800" w:hanging="360"/>
      </w:pPr>
      <w:rPr>
        <w:rFonts w:ascii="Symbol" w:hAnsi="Symbol" w:hint="default"/>
        <w:color w:val="F57E20" w:themeColor="accen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FE03EDE"/>
    <w:multiLevelType w:val="hybridMultilevel"/>
    <w:tmpl w:val="1FFC86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07B61FF"/>
    <w:multiLevelType w:val="hybridMultilevel"/>
    <w:tmpl w:val="0E40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0E0094"/>
    <w:multiLevelType w:val="multilevel"/>
    <w:tmpl w:val="1FDE0F3E"/>
    <w:styleLink w:val="Alphanumericlist"/>
    <w:lvl w:ilvl="0">
      <w:start w:val="1"/>
      <w:numFmt w:val="decimal"/>
      <w:lvlText w:val="%1."/>
      <w:lvlJc w:val="left"/>
      <w:pPr>
        <w:ind w:left="360" w:hanging="360"/>
      </w:pPr>
      <w:rPr>
        <w:rFonts w:hint="default"/>
        <w:b/>
        <w:i w:val="0"/>
        <w:color w:val="79BDE8" w:themeColor="background2"/>
      </w:rPr>
    </w:lvl>
    <w:lvl w:ilvl="1">
      <w:start w:val="1"/>
      <w:numFmt w:val="lowerLetter"/>
      <w:lvlText w:val="%2."/>
      <w:lvlJc w:val="left"/>
      <w:pPr>
        <w:ind w:left="720" w:hanging="360"/>
      </w:pPr>
      <w:rPr>
        <w:rFonts w:hint="default"/>
        <w:b/>
        <w:color w:val="79BDE8" w:themeColor="background2"/>
      </w:rPr>
    </w:lvl>
    <w:lvl w:ilvl="2">
      <w:start w:val="1"/>
      <w:numFmt w:val="lowerRoman"/>
      <w:lvlText w:val="%3."/>
      <w:lvlJc w:val="left"/>
      <w:pPr>
        <w:ind w:left="1080" w:hanging="360"/>
      </w:pPr>
      <w:rPr>
        <w:rFonts w:hint="default"/>
        <w:b/>
        <w:color w:val="79BDE8"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605844"/>
    <w:multiLevelType w:val="hybridMultilevel"/>
    <w:tmpl w:val="05B8DA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45A4CE2"/>
    <w:multiLevelType w:val="hybridMultilevel"/>
    <w:tmpl w:val="554244B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8A04B0"/>
    <w:multiLevelType w:val="hybridMultilevel"/>
    <w:tmpl w:val="2884A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ED111E4"/>
    <w:multiLevelType w:val="hybridMultilevel"/>
    <w:tmpl w:val="0EFA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3161199">
    <w:abstractNumId w:val="18"/>
  </w:num>
  <w:num w:numId="2" w16cid:durableId="1316180746">
    <w:abstractNumId w:val="6"/>
  </w:num>
  <w:num w:numId="3" w16cid:durableId="703987822">
    <w:abstractNumId w:val="3"/>
  </w:num>
  <w:num w:numId="4" w16cid:durableId="528570502">
    <w:abstractNumId w:val="7"/>
  </w:num>
  <w:num w:numId="5" w16cid:durableId="1596816051">
    <w:abstractNumId w:val="16"/>
  </w:num>
  <w:num w:numId="6" w16cid:durableId="327951856">
    <w:abstractNumId w:val="21"/>
  </w:num>
  <w:num w:numId="7" w16cid:durableId="1235310619">
    <w:abstractNumId w:val="9"/>
  </w:num>
  <w:num w:numId="8" w16cid:durableId="178156229">
    <w:abstractNumId w:val="19"/>
  </w:num>
  <w:num w:numId="9" w16cid:durableId="1587884412">
    <w:abstractNumId w:val="9"/>
  </w:num>
  <w:num w:numId="10" w16cid:durableId="1334067672">
    <w:abstractNumId w:val="16"/>
  </w:num>
  <w:num w:numId="11" w16cid:durableId="216362312">
    <w:abstractNumId w:val="19"/>
  </w:num>
  <w:num w:numId="12" w16cid:durableId="601887336">
    <w:abstractNumId w:val="21"/>
  </w:num>
  <w:num w:numId="13" w16cid:durableId="993147431">
    <w:abstractNumId w:val="11"/>
  </w:num>
  <w:num w:numId="14" w16cid:durableId="1711150111">
    <w:abstractNumId w:val="4"/>
  </w:num>
  <w:num w:numId="15" w16cid:durableId="1316911883">
    <w:abstractNumId w:val="14"/>
  </w:num>
  <w:num w:numId="16" w16cid:durableId="522867078">
    <w:abstractNumId w:val="17"/>
  </w:num>
  <w:num w:numId="17" w16cid:durableId="1306937002">
    <w:abstractNumId w:val="12"/>
  </w:num>
  <w:num w:numId="18" w16cid:durableId="951941352">
    <w:abstractNumId w:val="1"/>
  </w:num>
  <w:num w:numId="19" w16cid:durableId="115489361">
    <w:abstractNumId w:val="0"/>
  </w:num>
  <w:num w:numId="20" w16cid:durableId="1247693586">
    <w:abstractNumId w:val="2"/>
  </w:num>
  <w:num w:numId="21" w16cid:durableId="646394668">
    <w:abstractNumId w:val="15"/>
  </w:num>
  <w:num w:numId="22" w16cid:durableId="1534687178">
    <w:abstractNumId w:val="8"/>
  </w:num>
  <w:num w:numId="23" w16cid:durableId="1271009434">
    <w:abstractNumId w:val="20"/>
  </w:num>
  <w:num w:numId="24" w16cid:durableId="370695471">
    <w:abstractNumId w:val="10"/>
  </w:num>
  <w:num w:numId="25" w16cid:durableId="671418742">
    <w:abstractNumId w:val="13"/>
  </w:num>
  <w:num w:numId="26" w16cid:durableId="142353045">
    <w:abstractNumId w:val="22"/>
  </w:num>
  <w:num w:numId="27" w16cid:durableId="206663481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10"/>
    <w:rsid w:val="00000AC3"/>
    <w:rsid w:val="000026DE"/>
    <w:rsid w:val="00002AC8"/>
    <w:rsid w:val="00006D59"/>
    <w:rsid w:val="0000779C"/>
    <w:rsid w:val="00011CE6"/>
    <w:rsid w:val="00017242"/>
    <w:rsid w:val="00020AB9"/>
    <w:rsid w:val="00021D05"/>
    <w:rsid w:val="00033662"/>
    <w:rsid w:val="00040090"/>
    <w:rsid w:val="00050EAD"/>
    <w:rsid w:val="00053D2E"/>
    <w:rsid w:val="00055941"/>
    <w:rsid w:val="000632F1"/>
    <w:rsid w:val="000652C8"/>
    <w:rsid w:val="000669B1"/>
    <w:rsid w:val="000746C2"/>
    <w:rsid w:val="00076AD4"/>
    <w:rsid w:val="000848DC"/>
    <w:rsid w:val="000864EF"/>
    <w:rsid w:val="00092D6F"/>
    <w:rsid w:val="00093F37"/>
    <w:rsid w:val="000954D4"/>
    <w:rsid w:val="00097096"/>
    <w:rsid w:val="000A44DA"/>
    <w:rsid w:val="000B0D23"/>
    <w:rsid w:val="000B236E"/>
    <w:rsid w:val="000B3595"/>
    <w:rsid w:val="000B4CED"/>
    <w:rsid w:val="000B79CC"/>
    <w:rsid w:val="000C32E6"/>
    <w:rsid w:val="000C45F7"/>
    <w:rsid w:val="000C463F"/>
    <w:rsid w:val="000D0A9A"/>
    <w:rsid w:val="000D249B"/>
    <w:rsid w:val="000D7288"/>
    <w:rsid w:val="000D7BCC"/>
    <w:rsid w:val="000E1BF8"/>
    <w:rsid w:val="000E57F6"/>
    <w:rsid w:val="000E74BC"/>
    <w:rsid w:val="000F1C82"/>
    <w:rsid w:val="000F602B"/>
    <w:rsid w:val="000F7B8B"/>
    <w:rsid w:val="000F7FBD"/>
    <w:rsid w:val="00100099"/>
    <w:rsid w:val="001015A3"/>
    <w:rsid w:val="001017A4"/>
    <w:rsid w:val="00104743"/>
    <w:rsid w:val="00112941"/>
    <w:rsid w:val="00123338"/>
    <w:rsid w:val="001235ED"/>
    <w:rsid w:val="00123721"/>
    <w:rsid w:val="00124626"/>
    <w:rsid w:val="00132570"/>
    <w:rsid w:val="0013369B"/>
    <w:rsid w:val="0014212F"/>
    <w:rsid w:val="00142E43"/>
    <w:rsid w:val="00143C2F"/>
    <w:rsid w:val="001453DB"/>
    <w:rsid w:val="00150467"/>
    <w:rsid w:val="00150999"/>
    <w:rsid w:val="001510FB"/>
    <w:rsid w:val="00152348"/>
    <w:rsid w:val="00155115"/>
    <w:rsid w:val="00155333"/>
    <w:rsid w:val="00161696"/>
    <w:rsid w:val="00162B45"/>
    <w:rsid w:val="0016301F"/>
    <w:rsid w:val="0016569D"/>
    <w:rsid w:val="00166A70"/>
    <w:rsid w:val="001672C4"/>
    <w:rsid w:val="0017603A"/>
    <w:rsid w:val="0018045A"/>
    <w:rsid w:val="00182CAE"/>
    <w:rsid w:val="0018373C"/>
    <w:rsid w:val="00187DF0"/>
    <w:rsid w:val="0019073D"/>
    <w:rsid w:val="00192C7F"/>
    <w:rsid w:val="00194489"/>
    <w:rsid w:val="00196134"/>
    <w:rsid w:val="0019627D"/>
    <w:rsid w:val="001B252E"/>
    <w:rsid w:val="001B4201"/>
    <w:rsid w:val="001B44EC"/>
    <w:rsid w:val="001B5612"/>
    <w:rsid w:val="001B5DC9"/>
    <w:rsid w:val="001B69F7"/>
    <w:rsid w:val="001C2C75"/>
    <w:rsid w:val="001C5911"/>
    <w:rsid w:val="001C6C0A"/>
    <w:rsid w:val="001E106E"/>
    <w:rsid w:val="001E222D"/>
    <w:rsid w:val="001E4D8B"/>
    <w:rsid w:val="001E63D2"/>
    <w:rsid w:val="001E74BC"/>
    <w:rsid w:val="001F7596"/>
    <w:rsid w:val="0020032B"/>
    <w:rsid w:val="002078F2"/>
    <w:rsid w:val="00210DD4"/>
    <w:rsid w:val="00217B04"/>
    <w:rsid w:val="00224AC7"/>
    <w:rsid w:val="002359A7"/>
    <w:rsid w:val="0023754A"/>
    <w:rsid w:val="00247DCC"/>
    <w:rsid w:val="002515D7"/>
    <w:rsid w:val="0025471E"/>
    <w:rsid w:val="00254CF3"/>
    <w:rsid w:val="002556D2"/>
    <w:rsid w:val="002621EA"/>
    <w:rsid w:val="0026235D"/>
    <w:rsid w:val="0026247E"/>
    <w:rsid w:val="00262F4E"/>
    <w:rsid w:val="00264EDD"/>
    <w:rsid w:val="00265575"/>
    <w:rsid w:val="00266BCC"/>
    <w:rsid w:val="002713DF"/>
    <w:rsid w:val="002744D7"/>
    <w:rsid w:val="00276121"/>
    <w:rsid w:val="00284A4A"/>
    <w:rsid w:val="00292649"/>
    <w:rsid w:val="002A18C7"/>
    <w:rsid w:val="002A505F"/>
    <w:rsid w:val="002A6048"/>
    <w:rsid w:val="002B0BE7"/>
    <w:rsid w:val="002B392E"/>
    <w:rsid w:val="002B681B"/>
    <w:rsid w:val="002B6CEE"/>
    <w:rsid w:val="002B7FDA"/>
    <w:rsid w:val="002C168E"/>
    <w:rsid w:val="002C2E70"/>
    <w:rsid w:val="002C345E"/>
    <w:rsid w:val="002C4570"/>
    <w:rsid w:val="002C53F6"/>
    <w:rsid w:val="002C5C3A"/>
    <w:rsid w:val="002D5900"/>
    <w:rsid w:val="002D6630"/>
    <w:rsid w:val="002E0323"/>
    <w:rsid w:val="002E2D12"/>
    <w:rsid w:val="002E3ACF"/>
    <w:rsid w:val="002E4747"/>
    <w:rsid w:val="002E49DD"/>
    <w:rsid w:val="002E6800"/>
    <w:rsid w:val="002F0653"/>
    <w:rsid w:val="002F3164"/>
    <w:rsid w:val="0030220D"/>
    <w:rsid w:val="003037BC"/>
    <w:rsid w:val="0031484D"/>
    <w:rsid w:val="0031665A"/>
    <w:rsid w:val="00317245"/>
    <w:rsid w:val="003218A9"/>
    <w:rsid w:val="00326874"/>
    <w:rsid w:val="00334C9B"/>
    <w:rsid w:val="00334FF8"/>
    <w:rsid w:val="00337B74"/>
    <w:rsid w:val="003447E6"/>
    <w:rsid w:val="00346A1D"/>
    <w:rsid w:val="00350F1D"/>
    <w:rsid w:val="00363ABD"/>
    <w:rsid w:val="003648DF"/>
    <w:rsid w:val="003776B3"/>
    <w:rsid w:val="00377ED5"/>
    <w:rsid w:val="00380DF4"/>
    <w:rsid w:val="003851FB"/>
    <w:rsid w:val="00390DBF"/>
    <w:rsid w:val="00390FAC"/>
    <w:rsid w:val="00391F83"/>
    <w:rsid w:val="003921B2"/>
    <w:rsid w:val="003933EC"/>
    <w:rsid w:val="00393CF9"/>
    <w:rsid w:val="00394718"/>
    <w:rsid w:val="00397C76"/>
    <w:rsid w:val="003A0D31"/>
    <w:rsid w:val="003B2B3E"/>
    <w:rsid w:val="003B3EFB"/>
    <w:rsid w:val="003B4052"/>
    <w:rsid w:val="003B486B"/>
    <w:rsid w:val="003B56F4"/>
    <w:rsid w:val="003B69C4"/>
    <w:rsid w:val="003C3FB9"/>
    <w:rsid w:val="003C4A7A"/>
    <w:rsid w:val="003D15E5"/>
    <w:rsid w:val="003D488B"/>
    <w:rsid w:val="003D6C16"/>
    <w:rsid w:val="003E229E"/>
    <w:rsid w:val="003E502B"/>
    <w:rsid w:val="003E68FC"/>
    <w:rsid w:val="003F243F"/>
    <w:rsid w:val="003F3FD4"/>
    <w:rsid w:val="003F5431"/>
    <w:rsid w:val="003F6BB8"/>
    <w:rsid w:val="00406054"/>
    <w:rsid w:val="0041629E"/>
    <w:rsid w:val="00417948"/>
    <w:rsid w:val="00427A12"/>
    <w:rsid w:val="0043259E"/>
    <w:rsid w:val="0043647C"/>
    <w:rsid w:val="00437B87"/>
    <w:rsid w:val="00441ADC"/>
    <w:rsid w:val="00453F44"/>
    <w:rsid w:val="004551A7"/>
    <w:rsid w:val="0046370D"/>
    <w:rsid w:val="00465298"/>
    <w:rsid w:val="00476D63"/>
    <w:rsid w:val="004830EF"/>
    <w:rsid w:val="004834DC"/>
    <w:rsid w:val="00483711"/>
    <w:rsid w:val="00486397"/>
    <w:rsid w:val="00492C19"/>
    <w:rsid w:val="004A0554"/>
    <w:rsid w:val="004A20E1"/>
    <w:rsid w:val="004A71C0"/>
    <w:rsid w:val="004A7B84"/>
    <w:rsid w:val="004B37B7"/>
    <w:rsid w:val="004C0266"/>
    <w:rsid w:val="004C270D"/>
    <w:rsid w:val="004C3D36"/>
    <w:rsid w:val="004C5C25"/>
    <w:rsid w:val="004D2029"/>
    <w:rsid w:val="004D42C7"/>
    <w:rsid w:val="004D475F"/>
    <w:rsid w:val="004D55C6"/>
    <w:rsid w:val="004D5D94"/>
    <w:rsid w:val="004D6BBB"/>
    <w:rsid w:val="004E53F5"/>
    <w:rsid w:val="004E6646"/>
    <w:rsid w:val="004F0C36"/>
    <w:rsid w:val="004F4AC0"/>
    <w:rsid w:val="005020E6"/>
    <w:rsid w:val="005025D2"/>
    <w:rsid w:val="00506340"/>
    <w:rsid w:val="00506A9C"/>
    <w:rsid w:val="005100A9"/>
    <w:rsid w:val="005144F2"/>
    <w:rsid w:val="00521554"/>
    <w:rsid w:val="00522E41"/>
    <w:rsid w:val="00523FE1"/>
    <w:rsid w:val="0053455F"/>
    <w:rsid w:val="00534A0F"/>
    <w:rsid w:val="00535CB6"/>
    <w:rsid w:val="00536650"/>
    <w:rsid w:val="00551BDF"/>
    <w:rsid w:val="00555EE4"/>
    <w:rsid w:val="005668CF"/>
    <w:rsid w:val="00571BCF"/>
    <w:rsid w:val="0057365E"/>
    <w:rsid w:val="00574F7D"/>
    <w:rsid w:val="0058121E"/>
    <w:rsid w:val="0058215C"/>
    <w:rsid w:val="00591BC3"/>
    <w:rsid w:val="005A256A"/>
    <w:rsid w:val="005B280A"/>
    <w:rsid w:val="005B7CB8"/>
    <w:rsid w:val="005C143A"/>
    <w:rsid w:val="005C162B"/>
    <w:rsid w:val="005C1CEF"/>
    <w:rsid w:val="005C364B"/>
    <w:rsid w:val="005D152D"/>
    <w:rsid w:val="005E1299"/>
    <w:rsid w:val="005E3014"/>
    <w:rsid w:val="005E318C"/>
    <w:rsid w:val="005E5D03"/>
    <w:rsid w:val="005F066A"/>
    <w:rsid w:val="005F1509"/>
    <w:rsid w:val="005F24EA"/>
    <w:rsid w:val="005F378A"/>
    <w:rsid w:val="005F5A5A"/>
    <w:rsid w:val="005F60C4"/>
    <w:rsid w:val="005F6CF9"/>
    <w:rsid w:val="00601DFD"/>
    <w:rsid w:val="0060454B"/>
    <w:rsid w:val="0060643A"/>
    <w:rsid w:val="00610395"/>
    <w:rsid w:val="006133F3"/>
    <w:rsid w:val="00615002"/>
    <w:rsid w:val="0061533C"/>
    <w:rsid w:val="0061633C"/>
    <w:rsid w:val="00617C05"/>
    <w:rsid w:val="00620637"/>
    <w:rsid w:val="00630AC1"/>
    <w:rsid w:val="0063249E"/>
    <w:rsid w:val="00632610"/>
    <w:rsid w:val="00635032"/>
    <w:rsid w:val="006360B2"/>
    <w:rsid w:val="0063672E"/>
    <w:rsid w:val="0064522F"/>
    <w:rsid w:val="006453C0"/>
    <w:rsid w:val="00645513"/>
    <w:rsid w:val="00654334"/>
    <w:rsid w:val="006547A8"/>
    <w:rsid w:val="00660ED4"/>
    <w:rsid w:val="0066189B"/>
    <w:rsid w:val="006622C5"/>
    <w:rsid w:val="006640BC"/>
    <w:rsid w:val="00670371"/>
    <w:rsid w:val="00672EAA"/>
    <w:rsid w:val="006806A7"/>
    <w:rsid w:val="00690B77"/>
    <w:rsid w:val="0069320A"/>
    <w:rsid w:val="006A07DB"/>
    <w:rsid w:val="006A21AC"/>
    <w:rsid w:val="006A2D59"/>
    <w:rsid w:val="006A3CF6"/>
    <w:rsid w:val="006A65F6"/>
    <w:rsid w:val="006B199B"/>
    <w:rsid w:val="006B3F5B"/>
    <w:rsid w:val="006B45DD"/>
    <w:rsid w:val="006B50EE"/>
    <w:rsid w:val="006C04F7"/>
    <w:rsid w:val="006C56F3"/>
    <w:rsid w:val="006C7661"/>
    <w:rsid w:val="006D01E8"/>
    <w:rsid w:val="006D25EE"/>
    <w:rsid w:val="006D5F05"/>
    <w:rsid w:val="006E15BB"/>
    <w:rsid w:val="006E62E1"/>
    <w:rsid w:val="006F2C64"/>
    <w:rsid w:val="006F35F3"/>
    <w:rsid w:val="006F5AEB"/>
    <w:rsid w:val="007013CD"/>
    <w:rsid w:val="00702822"/>
    <w:rsid w:val="007065ED"/>
    <w:rsid w:val="00711902"/>
    <w:rsid w:val="00713F9D"/>
    <w:rsid w:val="00714954"/>
    <w:rsid w:val="0071645B"/>
    <w:rsid w:val="00720C62"/>
    <w:rsid w:val="007267A9"/>
    <w:rsid w:val="00727730"/>
    <w:rsid w:val="0073100F"/>
    <w:rsid w:val="00734291"/>
    <w:rsid w:val="007342FB"/>
    <w:rsid w:val="00736FE7"/>
    <w:rsid w:val="00740011"/>
    <w:rsid w:val="00740CC9"/>
    <w:rsid w:val="00741782"/>
    <w:rsid w:val="007502BA"/>
    <w:rsid w:val="007555B6"/>
    <w:rsid w:val="007639CA"/>
    <w:rsid w:val="00776A42"/>
    <w:rsid w:val="007827BB"/>
    <w:rsid w:val="0078731D"/>
    <w:rsid w:val="00795750"/>
    <w:rsid w:val="00797D95"/>
    <w:rsid w:val="007A02FF"/>
    <w:rsid w:val="007A0C66"/>
    <w:rsid w:val="007A0D13"/>
    <w:rsid w:val="007B3172"/>
    <w:rsid w:val="007B3E18"/>
    <w:rsid w:val="007B3E7C"/>
    <w:rsid w:val="007B48E7"/>
    <w:rsid w:val="007B683E"/>
    <w:rsid w:val="007B7596"/>
    <w:rsid w:val="007C1CFE"/>
    <w:rsid w:val="007C3A61"/>
    <w:rsid w:val="007C7550"/>
    <w:rsid w:val="007D0A08"/>
    <w:rsid w:val="007D5E2E"/>
    <w:rsid w:val="007D655E"/>
    <w:rsid w:val="007E2DC4"/>
    <w:rsid w:val="007E2F97"/>
    <w:rsid w:val="007E4686"/>
    <w:rsid w:val="007E54F5"/>
    <w:rsid w:val="007E59A2"/>
    <w:rsid w:val="007E5FE3"/>
    <w:rsid w:val="007F3110"/>
    <w:rsid w:val="007F4D7B"/>
    <w:rsid w:val="007F5F5A"/>
    <w:rsid w:val="00800BC6"/>
    <w:rsid w:val="00801AF1"/>
    <w:rsid w:val="00806B42"/>
    <w:rsid w:val="00821A9F"/>
    <w:rsid w:val="00824A6D"/>
    <w:rsid w:val="00825ECC"/>
    <w:rsid w:val="00842833"/>
    <w:rsid w:val="00844D5E"/>
    <w:rsid w:val="008459B4"/>
    <w:rsid w:val="008468D1"/>
    <w:rsid w:val="00847455"/>
    <w:rsid w:val="0085174E"/>
    <w:rsid w:val="00852651"/>
    <w:rsid w:val="0085507E"/>
    <w:rsid w:val="00855146"/>
    <w:rsid w:val="0086115E"/>
    <w:rsid w:val="00866A77"/>
    <w:rsid w:val="00867BEE"/>
    <w:rsid w:val="008733FA"/>
    <w:rsid w:val="00881E15"/>
    <w:rsid w:val="00883EDE"/>
    <w:rsid w:val="00892708"/>
    <w:rsid w:val="00893126"/>
    <w:rsid w:val="00894777"/>
    <w:rsid w:val="00897C2C"/>
    <w:rsid w:val="00897C6E"/>
    <w:rsid w:val="008A3904"/>
    <w:rsid w:val="008B28A7"/>
    <w:rsid w:val="008B3A96"/>
    <w:rsid w:val="008B490C"/>
    <w:rsid w:val="008B688D"/>
    <w:rsid w:val="008B746E"/>
    <w:rsid w:val="008C4BEE"/>
    <w:rsid w:val="008C66E2"/>
    <w:rsid w:val="008C6910"/>
    <w:rsid w:val="008D2F74"/>
    <w:rsid w:val="008D43FA"/>
    <w:rsid w:val="008E539D"/>
    <w:rsid w:val="008E63B5"/>
    <w:rsid w:val="008E754B"/>
    <w:rsid w:val="008F1B69"/>
    <w:rsid w:val="008F2CBE"/>
    <w:rsid w:val="008F5459"/>
    <w:rsid w:val="008F76DC"/>
    <w:rsid w:val="0090411C"/>
    <w:rsid w:val="009151AE"/>
    <w:rsid w:val="00917E97"/>
    <w:rsid w:val="00925FE0"/>
    <w:rsid w:val="00927F5F"/>
    <w:rsid w:val="00934420"/>
    <w:rsid w:val="00937CFD"/>
    <w:rsid w:val="00941265"/>
    <w:rsid w:val="009447C4"/>
    <w:rsid w:val="00945C47"/>
    <w:rsid w:val="009504A4"/>
    <w:rsid w:val="009514A2"/>
    <w:rsid w:val="00951E14"/>
    <w:rsid w:val="00953653"/>
    <w:rsid w:val="009545CE"/>
    <w:rsid w:val="00954F25"/>
    <w:rsid w:val="00957E80"/>
    <w:rsid w:val="0096076A"/>
    <w:rsid w:val="00961A43"/>
    <w:rsid w:val="009638B9"/>
    <w:rsid w:val="00963C8B"/>
    <w:rsid w:val="0096520A"/>
    <w:rsid w:val="00966DA9"/>
    <w:rsid w:val="009700ED"/>
    <w:rsid w:val="009729FA"/>
    <w:rsid w:val="009740AB"/>
    <w:rsid w:val="00974B0E"/>
    <w:rsid w:val="00974EF2"/>
    <w:rsid w:val="00983A83"/>
    <w:rsid w:val="00987BCC"/>
    <w:rsid w:val="00992252"/>
    <w:rsid w:val="00994002"/>
    <w:rsid w:val="009A3DEB"/>
    <w:rsid w:val="009A4387"/>
    <w:rsid w:val="009B4554"/>
    <w:rsid w:val="009B73A2"/>
    <w:rsid w:val="009B7790"/>
    <w:rsid w:val="009B79F4"/>
    <w:rsid w:val="009C00D9"/>
    <w:rsid w:val="009C1111"/>
    <w:rsid w:val="009C26E3"/>
    <w:rsid w:val="009C6AAE"/>
    <w:rsid w:val="009D0365"/>
    <w:rsid w:val="009D3282"/>
    <w:rsid w:val="009D33AB"/>
    <w:rsid w:val="009D57E2"/>
    <w:rsid w:val="009D6476"/>
    <w:rsid w:val="009D7022"/>
    <w:rsid w:val="009E00E4"/>
    <w:rsid w:val="009E4438"/>
    <w:rsid w:val="009E7AC2"/>
    <w:rsid w:val="009F2A50"/>
    <w:rsid w:val="009F6C9C"/>
    <w:rsid w:val="009F76E8"/>
    <w:rsid w:val="00A04ED9"/>
    <w:rsid w:val="00A05937"/>
    <w:rsid w:val="00A0617C"/>
    <w:rsid w:val="00A061D6"/>
    <w:rsid w:val="00A07CC7"/>
    <w:rsid w:val="00A13DD1"/>
    <w:rsid w:val="00A1417F"/>
    <w:rsid w:val="00A14EEF"/>
    <w:rsid w:val="00A16639"/>
    <w:rsid w:val="00A21985"/>
    <w:rsid w:val="00A24A6A"/>
    <w:rsid w:val="00A264D8"/>
    <w:rsid w:val="00A3012B"/>
    <w:rsid w:val="00A309F0"/>
    <w:rsid w:val="00A315D4"/>
    <w:rsid w:val="00A32C0C"/>
    <w:rsid w:val="00A33BD7"/>
    <w:rsid w:val="00A35057"/>
    <w:rsid w:val="00A36562"/>
    <w:rsid w:val="00A44FDE"/>
    <w:rsid w:val="00A452D1"/>
    <w:rsid w:val="00A46EFF"/>
    <w:rsid w:val="00A5139E"/>
    <w:rsid w:val="00A5176F"/>
    <w:rsid w:val="00A54B51"/>
    <w:rsid w:val="00A610C5"/>
    <w:rsid w:val="00A61A9E"/>
    <w:rsid w:val="00A64BBC"/>
    <w:rsid w:val="00A65145"/>
    <w:rsid w:val="00A659A6"/>
    <w:rsid w:val="00A65F6F"/>
    <w:rsid w:val="00A72E18"/>
    <w:rsid w:val="00A74D8B"/>
    <w:rsid w:val="00A76AE3"/>
    <w:rsid w:val="00A832E4"/>
    <w:rsid w:val="00A86DCD"/>
    <w:rsid w:val="00A87994"/>
    <w:rsid w:val="00A93B17"/>
    <w:rsid w:val="00A9445E"/>
    <w:rsid w:val="00A95871"/>
    <w:rsid w:val="00A96E2A"/>
    <w:rsid w:val="00AA1053"/>
    <w:rsid w:val="00AA3A2F"/>
    <w:rsid w:val="00AA3CE5"/>
    <w:rsid w:val="00AA51D3"/>
    <w:rsid w:val="00AA5A56"/>
    <w:rsid w:val="00AA5EF8"/>
    <w:rsid w:val="00AA7414"/>
    <w:rsid w:val="00AB6298"/>
    <w:rsid w:val="00AB65DF"/>
    <w:rsid w:val="00AC27A9"/>
    <w:rsid w:val="00AC37E3"/>
    <w:rsid w:val="00AD0DAB"/>
    <w:rsid w:val="00AD3941"/>
    <w:rsid w:val="00AF54BD"/>
    <w:rsid w:val="00AF5826"/>
    <w:rsid w:val="00B01274"/>
    <w:rsid w:val="00B113A2"/>
    <w:rsid w:val="00B1187F"/>
    <w:rsid w:val="00B14478"/>
    <w:rsid w:val="00B20EF4"/>
    <w:rsid w:val="00B24129"/>
    <w:rsid w:val="00B25080"/>
    <w:rsid w:val="00B30695"/>
    <w:rsid w:val="00B33A7A"/>
    <w:rsid w:val="00B507E6"/>
    <w:rsid w:val="00B50C76"/>
    <w:rsid w:val="00B705FB"/>
    <w:rsid w:val="00B70DAA"/>
    <w:rsid w:val="00B71A62"/>
    <w:rsid w:val="00B73702"/>
    <w:rsid w:val="00B7561F"/>
    <w:rsid w:val="00B817DB"/>
    <w:rsid w:val="00B876F1"/>
    <w:rsid w:val="00B87CE8"/>
    <w:rsid w:val="00B92A08"/>
    <w:rsid w:val="00B92CED"/>
    <w:rsid w:val="00B93268"/>
    <w:rsid w:val="00B96167"/>
    <w:rsid w:val="00B96870"/>
    <w:rsid w:val="00B975E7"/>
    <w:rsid w:val="00B97CC0"/>
    <w:rsid w:val="00BA28EC"/>
    <w:rsid w:val="00BA4778"/>
    <w:rsid w:val="00BA5FB1"/>
    <w:rsid w:val="00BA7C15"/>
    <w:rsid w:val="00BC497D"/>
    <w:rsid w:val="00BD1DB3"/>
    <w:rsid w:val="00BD27FD"/>
    <w:rsid w:val="00BD3168"/>
    <w:rsid w:val="00BD388A"/>
    <w:rsid w:val="00BD44C6"/>
    <w:rsid w:val="00BD65C8"/>
    <w:rsid w:val="00BD6D84"/>
    <w:rsid w:val="00BE5A27"/>
    <w:rsid w:val="00BF54FF"/>
    <w:rsid w:val="00BF72AB"/>
    <w:rsid w:val="00C00CF2"/>
    <w:rsid w:val="00C03BA1"/>
    <w:rsid w:val="00C107E3"/>
    <w:rsid w:val="00C12449"/>
    <w:rsid w:val="00C12A49"/>
    <w:rsid w:val="00C267E1"/>
    <w:rsid w:val="00C305FD"/>
    <w:rsid w:val="00C41D93"/>
    <w:rsid w:val="00C42C15"/>
    <w:rsid w:val="00C44D9A"/>
    <w:rsid w:val="00C4602C"/>
    <w:rsid w:val="00C474E8"/>
    <w:rsid w:val="00C6012C"/>
    <w:rsid w:val="00C64302"/>
    <w:rsid w:val="00C6729F"/>
    <w:rsid w:val="00C75069"/>
    <w:rsid w:val="00C81258"/>
    <w:rsid w:val="00C820D6"/>
    <w:rsid w:val="00C8639C"/>
    <w:rsid w:val="00C86BA1"/>
    <w:rsid w:val="00C901C5"/>
    <w:rsid w:val="00C93AC2"/>
    <w:rsid w:val="00C94898"/>
    <w:rsid w:val="00C95AC3"/>
    <w:rsid w:val="00CA10F6"/>
    <w:rsid w:val="00CA65CB"/>
    <w:rsid w:val="00CA71C8"/>
    <w:rsid w:val="00CB00B8"/>
    <w:rsid w:val="00CB67DC"/>
    <w:rsid w:val="00CB79FA"/>
    <w:rsid w:val="00CC1DA2"/>
    <w:rsid w:val="00CC67F2"/>
    <w:rsid w:val="00CD07B0"/>
    <w:rsid w:val="00CD31B6"/>
    <w:rsid w:val="00CD4ACD"/>
    <w:rsid w:val="00CD5402"/>
    <w:rsid w:val="00CD799C"/>
    <w:rsid w:val="00CD7D40"/>
    <w:rsid w:val="00CE0153"/>
    <w:rsid w:val="00CE1E63"/>
    <w:rsid w:val="00CE7517"/>
    <w:rsid w:val="00CF0AEF"/>
    <w:rsid w:val="00CF0FB3"/>
    <w:rsid w:val="00CF5437"/>
    <w:rsid w:val="00D028D2"/>
    <w:rsid w:val="00D04F07"/>
    <w:rsid w:val="00D05CE8"/>
    <w:rsid w:val="00D1275A"/>
    <w:rsid w:val="00D17F34"/>
    <w:rsid w:val="00D259A7"/>
    <w:rsid w:val="00D25B5D"/>
    <w:rsid w:val="00D2732C"/>
    <w:rsid w:val="00D2745C"/>
    <w:rsid w:val="00D27E93"/>
    <w:rsid w:val="00D40663"/>
    <w:rsid w:val="00D44047"/>
    <w:rsid w:val="00D51ED9"/>
    <w:rsid w:val="00D52A12"/>
    <w:rsid w:val="00D5424A"/>
    <w:rsid w:val="00D61FD7"/>
    <w:rsid w:val="00D63969"/>
    <w:rsid w:val="00D67481"/>
    <w:rsid w:val="00D7358A"/>
    <w:rsid w:val="00D74BCA"/>
    <w:rsid w:val="00D75B3C"/>
    <w:rsid w:val="00D76549"/>
    <w:rsid w:val="00D814C3"/>
    <w:rsid w:val="00D85A06"/>
    <w:rsid w:val="00D92AFF"/>
    <w:rsid w:val="00D95644"/>
    <w:rsid w:val="00D96F7F"/>
    <w:rsid w:val="00DA226F"/>
    <w:rsid w:val="00DA3000"/>
    <w:rsid w:val="00DA3C0D"/>
    <w:rsid w:val="00DA3E0B"/>
    <w:rsid w:val="00DB2EEC"/>
    <w:rsid w:val="00DB7DD5"/>
    <w:rsid w:val="00DC13DE"/>
    <w:rsid w:val="00DC35A3"/>
    <w:rsid w:val="00DD1BDA"/>
    <w:rsid w:val="00DD6B31"/>
    <w:rsid w:val="00DD6D36"/>
    <w:rsid w:val="00DD76D5"/>
    <w:rsid w:val="00DE04BA"/>
    <w:rsid w:val="00DE5F17"/>
    <w:rsid w:val="00DF3EA4"/>
    <w:rsid w:val="00DF7156"/>
    <w:rsid w:val="00E027B8"/>
    <w:rsid w:val="00E05E86"/>
    <w:rsid w:val="00E063BF"/>
    <w:rsid w:val="00E07910"/>
    <w:rsid w:val="00E12E85"/>
    <w:rsid w:val="00E161C5"/>
    <w:rsid w:val="00E20FE5"/>
    <w:rsid w:val="00E301FD"/>
    <w:rsid w:val="00E32BAE"/>
    <w:rsid w:val="00E3564E"/>
    <w:rsid w:val="00E378AB"/>
    <w:rsid w:val="00E41516"/>
    <w:rsid w:val="00E42F66"/>
    <w:rsid w:val="00E46434"/>
    <w:rsid w:val="00E46691"/>
    <w:rsid w:val="00E50164"/>
    <w:rsid w:val="00E52623"/>
    <w:rsid w:val="00E662F3"/>
    <w:rsid w:val="00E66FF9"/>
    <w:rsid w:val="00E70BFF"/>
    <w:rsid w:val="00E80A67"/>
    <w:rsid w:val="00E83785"/>
    <w:rsid w:val="00E87461"/>
    <w:rsid w:val="00E87894"/>
    <w:rsid w:val="00E93FE9"/>
    <w:rsid w:val="00E97C66"/>
    <w:rsid w:val="00EA54FD"/>
    <w:rsid w:val="00EB0598"/>
    <w:rsid w:val="00EB05C7"/>
    <w:rsid w:val="00EB2071"/>
    <w:rsid w:val="00EC045C"/>
    <w:rsid w:val="00EC2804"/>
    <w:rsid w:val="00EC49D4"/>
    <w:rsid w:val="00EC6BB4"/>
    <w:rsid w:val="00EC78C2"/>
    <w:rsid w:val="00ED11CA"/>
    <w:rsid w:val="00ED1387"/>
    <w:rsid w:val="00ED57B4"/>
    <w:rsid w:val="00EE1760"/>
    <w:rsid w:val="00EE19A8"/>
    <w:rsid w:val="00EE21F7"/>
    <w:rsid w:val="00EE3F21"/>
    <w:rsid w:val="00EE55DA"/>
    <w:rsid w:val="00EE57E1"/>
    <w:rsid w:val="00EF11B9"/>
    <w:rsid w:val="00F012E3"/>
    <w:rsid w:val="00F03D92"/>
    <w:rsid w:val="00F04766"/>
    <w:rsid w:val="00F12A0D"/>
    <w:rsid w:val="00F147E4"/>
    <w:rsid w:val="00F240CB"/>
    <w:rsid w:val="00F24F8E"/>
    <w:rsid w:val="00F267B9"/>
    <w:rsid w:val="00F27CA6"/>
    <w:rsid w:val="00F30B93"/>
    <w:rsid w:val="00F323F0"/>
    <w:rsid w:val="00F36B6E"/>
    <w:rsid w:val="00F4086D"/>
    <w:rsid w:val="00F411A8"/>
    <w:rsid w:val="00F4269F"/>
    <w:rsid w:val="00F427E4"/>
    <w:rsid w:val="00F4522E"/>
    <w:rsid w:val="00F45CA7"/>
    <w:rsid w:val="00F47C49"/>
    <w:rsid w:val="00F50E99"/>
    <w:rsid w:val="00F54304"/>
    <w:rsid w:val="00F55886"/>
    <w:rsid w:val="00F60687"/>
    <w:rsid w:val="00F673CC"/>
    <w:rsid w:val="00F70A6A"/>
    <w:rsid w:val="00F73F9C"/>
    <w:rsid w:val="00F74FF6"/>
    <w:rsid w:val="00F76E26"/>
    <w:rsid w:val="00F82D35"/>
    <w:rsid w:val="00F8441C"/>
    <w:rsid w:val="00F84BBB"/>
    <w:rsid w:val="00F921B6"/>
    <w:rsid w:val="00F953B9"/>
    <w:rsid w:val="00F9600B"/>
    <w:rsid w:val="00FA0724"/>
    <w:rsid w:val="00FA1421"/>
    <w:rsid w:val="00FA19E7"/>
    <w:rsid w:val="00FB583B"/>
    <w:rsid w:val="00FC0FE7"/>
    <w:rsid w:val="00FD05F7"/>
    <w:rsid w:val="00FD1405"/>
    <w:rsid w:val="00FD4845"/>
    <w:rsid w:val="00FD5EAC"/>
    <w:rsid w:val="00FD7601"/>
    <w:rsid w:val="00FE03B8"/>
    <w:rsid w:val="00FF0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06C3"/>
  <w14:defaultImageDpi w14:val="32767"/>
  <w15:chartTrackingRefBased/>
  <w15:docId w15:val="{BD41CCE9-6B04-473F-847C-9BF95614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pPr>
      <w:spacing w:after="120"/>
      <w:ind w:right="994"/>
    </w:pPr>
    <w:rPr>
      <w:rFonts w:eastAsiaTheme="minorEastAsia"/>
      <w:color w:val="00B050"/>
      <w:sz w:val="18"/>
    </w:rPr>
  </w:style>
  <w:style w:type="paragraph" w:styleId="Heading1">
    <w:name w:val="heading 1"/>
    <w:next w:val="Bodycopy"/>
    <w:link w:val="Heading1Char"/>
    <w:uiPriority w:val="7"/>
    <w:qFormat/>
    <w:pPr>
      <w:keepNext/>
      <w:spacing w:before="480" w:after="240"/>
      <w:outlineLvl w:val="0"/>
    </w:pPr>
    <w:rPr>
      <w:rFonts w:asciiTheme="majorHAnsi" w:eastAsiaTheme="majorEastAsia" w:hAnsiTheme="majorHAnsi" w:cstheme="majorBidi"/>
      <w:b/>
      <w:color w:val="79BDE8" w:themeColor="background2"/>
      <w:sz w:val="28"/>
      <w:szCs w:val="32"/>
    </w:rPr>
  </w:style>
  <w:style w:type="paragraph" w:styleId="Heading2">
    <w:name w:val="heading 2"/>
    <w:next w:val="Bodycopy"/>
    <w:link w:val="Heading2Char"/>
    <w:uiPriority w:val="7"/>
    <w:qFormat/>
    <w:pPr>
      <w:keepNext/>
      <w:keepLines/>
      <w:spacing w:before="240" w:after="120"/>
      <w:outlineLvl w:val="1"/>
    </w:pPr>
    <w:rPr>
      <w:rFonts w:asciiTheme="majorHAnsi" w:eastAsiaTheme="majorEastAsia" w:hAnsiTheme="majorHAnsi" w:cstheme="majorBidi"/>
      <w:b/>
      <w:color w:val="000000" w:themeColor="text1"/>
      <w:szCs w:val="26"/>
    </w:rPr>
  </w:style>
  <w:style w:type="paragraph" w:styleId="Heading3">
    <w:name w:val="heading 3"/>
    <w:next w:val="Bodycopy"/>
    <w:link w:val="Heading3Char"/>
    <w:uiPriority w:val="7"/>
    <w:qFormat/>
    <w:pPr>
      <w:keepNext/>
      <w:keepLines/>
      <w:spacing w:before="240" w:after="80"/>
      <w:outlineLvl w:val="2"/>
    </w:pPr>
    <w:rPr>
      <w:rFonts w:asciiTheme="majorHAnsi" w:eastAsiaTheme="majorEastAsia" w:hAnsiTheme="majorHAnsi" w:cstheme="majorBidi"/>
      <w:b/>
      <w:color w:val="79BDE8" w:themeColor="background2"/>
      <w:sz w:val="21"/>
    </w:rPr>
  </w:style>
  <w:style w:type="paragraph" w:styleId="Heading4">
    <w:name w:val="heading 4"/>
    <w:next w:val="Bodycopy"/>
    <w:link w:val="Heading4Char"/>
    <w:uiPriority w:val="7"/>
    <w:qFormat/>
    <w:pPr>
      <w:keepNext/>
      <w:keepLines/>
      <w:spacing w:before="240" w:after="80"/>
      <w:outlineLvl w:val="3"/>
    </w:pPr>
    <w:rPr>
      <w:rFonts w:asciiTheme="majorHAnsi" w:eastAsiaTheme="majorEastAsia" w:hAnsiTheme="majorHAnsi" w:cstheme="majorBidi"/>
      <w:b/>
      <w:iCs/>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pBdr>
        <w:top w:val="single" w:sz="4" w:space="6" w:color="000000" w:themeColor="text1"/>
      </w:pBdr>
      <w:tabs>
        <w:tab w:val="center" w:pos="4680"/>
        <w:tab w:val="right" w:pos="9360"/>
      </w:tabs>
    </w:pPr>
    <w:rPr>
      <w:rFonts w:eastAsiaTheme="minorEastAsia"/>
      <w:color w:val="000000" w:themeColor="text1"/>
      <w:sz w:val="18"/>
    </w:rPr>
  </w:style>
  <w:style w:type="character" w:customStyle="1" w:styleId="HeaderChar">
    <w:name w:val="Header Char"/>
    <w:basedOn w:val="DefaultParagraphFont"/>
    <w:link w:val="Header"/>
    <w:uiPriority w:val="99"/>
    <w:rPr>
      <w:rFonts w:eastAsiaTheme="minorEastAsia"/>
      <w:color w:val="000000" w:themeColor="text1"/>
      <w:sz w:val="18"/>
    </w:rPr>
  </w:style>
  <w:style w:type="paragraph" w:styleId="Footer">
    <w:name w:val="footer"/>
    <w:link w:val="FooterChar"/>
    <w:uiPriority w:val="99"/>
    <w:unhideWhenUsed/>
    <w:pPr>
      <w:pBdr>
        <w:top w:val="single" w:sz="4" w:space="15" w:color="000000" w:themeColor="text1"/>
      </w:pBdr>
      <w:tabs>
        <w:tab w:val="right" w:pos="10620"/>
      </w:tabs>
    </w:pPr>
    <w:rPr>
      <w:rFonts w:eastAsiaTheme="minorEastAsia"/>
      <w:color w:val="000000" w:themeColor="text1"/>
      <w:sz w:val="18"/>
    </w:rPr>
  </w:style>
  <w:style w:type="character" w:customStyle="1" w:styleId="FooterChar">
    <w:name w:val="Footer Char"/>
    <w:basedOn w:val="DefaultParagraphFont"/>
    <w:link w:val="Footer"/>
    <w:uiPriority w:val="99"/>
    <w:rPr>
      <w:rFonts w:eastAsiaTheme="minorEastAsia"/>
      <w:color w:val="000000" w:themeColor="text1"/>
      <w:sz w:val="18"/>
    </w:rPr>
  </w:style>
  <w:style w:type="character" w:customStyle="1" w:styleId="Heading1Char">
    <w:name w:val="Heading 1 Char"/>
    <w:basedOn w:val="DefaultParagraphFont"/>
    <w:link w:val="Heading1"/>
    <w:uiPriority w:val="7"/>
    <w:rPr>
      <w:rFonts w:asciiTheme="majorHAnsi" w:eastAsiaTheme="majorEastAsia" w:hAnsiTheme="majorHAnsi" w:cstheme="majorBidi"/>
      <w:b/>
      <w:color w:val="79BDE8" w:themeColor="background2"/>
      <w:sz w:val="28"/>
      <w:szCs w:val="32"/>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character" w:customStyle="1" w:styleId="Heading2Char">
    <w:name w:val="Heading 2 Char"/>
    <w:basedOn w:val="DefaultParagraphFont"/>
    <w:link w:val="Heading2"/>
    <w:uiPriority w:val="7"/>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79BDE8" w:themeColor="background2"/>
      <w:sz w:val="21"/>
    </w:rPr>
  </w:style>
  <w:style w:type="table" w:styleId="TableGrid">
    <w:name w:val="Table Grid"/>
    <w:basedOn w:val="TableNormal"/>
    <w:uiPriority w:val="59"/>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opy">
    <w:name w:val="Body copy"/>
    <w:uiPriority w:val="8"/>
    <w:qFormat/>
    <w:pPr>
      <w:spacing w:after="120"/>
    </w:pPr>
    <w:rPr>
      <w:rFonts w:eastAsia="Calibri" w:cs="Times New Roman"/>
      <w:color w:val="000000" w:themeColor="text1"/>
      <w:sz w:val="18"/>
      <w:szCs w:val="18"/>
    </w:rPr>
  </w:style>
  <w:style w:type="paragraph" w:customStyle="1" w:styleId="Tablegraphintrocopy">
    <w:name w:val="Table/graph intro copy"/>
    <w:basedOn w:val="Tablecopy"/>
    <w:uiPriority w:val="13"/>
    <w:qFormat/>
    <w:pPr>
      <w:spacing w:before="120" w:after="120"/>
    </w:pPr>
    <w:rPr>
      <w:rFonts w:eastAsia="Times New Roman"/>
      <w:sz w:val="16"/>
      <w:szCs w:val="20"/>
    </w:rPr>
  </w:style>
  <w:style w:type="paragraph" w:customStyle="1" w:styleId="Introcopy">
    <w:name w:val="Intro copy"/>
    <w:next w:val="Bodycopy"/>
    <w:uiPriority w:val="6"/>
    <w:qFormat/>
    <w:rsid w:val="007B683E"/>
    <w:pPr>
      <w:spacing w:after="240"/>
    </w:pPr>
    <w:rPr>
      <w:rFonts w:eastAsia="Calibri" w:cs="Times New Roman"/>
      <w:color w:val="000000" w:themeColor="text1"/>
      <w:szCs w:val="18"/>
    </w:rPr>
  </w:style>
  <w:style w:type="paragraph" w:customStyle="1" w:styleId="Authorinfo">
    <w:name w:val="Author info"/>
    <w:uiPriority w:val="5"/>
    <w:pPr>
      <w:spacing w:after="120"/>
    </w:pPr>
    <w:rPr>
      <w:rFonts w:eastAsia="Times New Roman" w:cs="Times New Roman"/>
      <w:color w:val="000000" w:themeColor="text1"/>
      <w:sz w:val="18"/>
      <w:szCs w:val="20"/>
    </w:rPr>
  </w:style>
  <w:style w:type="paragraph" w:styleId="TOCHeading">
    <w:name w:val="TOC Heading"/>
    <w:next w:val="Normal"/>
    <w:uiPriority w:val="39"/>
    <w:semiHidden/>
    <w:pPr>
      <w:keepLines/>
      <w:spacing w:before="240"/>
      <w:ind w:right="994"/>
    </w:pPr>
    <w:rPr>
      <w:rFonts w:asciiTheme="majorHAnsi" w:eastAsiaTheme="majorEastAsia" w:hAnsiTheme="majorHAnsi" w:cstheme="majorBidi"/>
      <w:color w:val="C65C09" w:themeColor="accent1" w:themeShade="BF"/>
      <w:sz w:val="32"/>
      <w:szCs w:val="32"/>
    </w:rPr>
  </w:style>
  <w:style w:type="table" w:customStyle="1" w:styleId="RPtable1">
    <w:name w:val="RP table1"/>
    <w:basedOn w:val="TableNormal"/>
    <w:uiPriority w:val="99"/>
    <w:rPr>
      <w:color w:val="000000" w:themeColor="text1"/>
      <w:sz w:val="14"/>
    </w:rPr>
    <w:tblPr>
      <w:tblBorders>
        <w:top w:val="single" w:sz="2" w:space="0" w:color="000000" w:themeColor="text1"/>
        <w:bottom w:val="single" w:sz="2" w:space="0" w:color="000000" w:themeColor="text1"/>
        <w:insideH w:val="single" w:sz="2" w:space="0" w:color="000000" w:themeColor="text1"/>
      </w:tblBorders>
      <w:tblCellMar>
        <w:top w:w="40" w:type="dxa"/>
        <w:left w:w="0" w:type="dxa"/>
        <w:bottom w:w="40" w:type="dxa"/>
        <w:right w:w="115" w:type="dxa"/>
      </w:tblCellMar>
    </w:tblPr>
    <w:trPr>
      <w:cantSplit/>
    </w:trPr>
    <w:tblStylePr w:type="firstRow">
      <w:rPr>
        <w:b/>
        <w:i w:val="0"/>
        <w:caps/>
        <w:smallCaps w:val="0"/>
        <w:strike w:val="0"/>
        <w:dstrike w:val="0"/>
        <w:vanish w:val="0"/>
        <w:vertAlign w:val="baseline"/>
      </w:rPr>
      <w:tblPr/>
      <w:tcPr>
        <w:tcBorders>
          <w:top w:val="single" w:sz="36" w:space="0" w:color="000000" w:themeColor="text1"/>
          <w:left w:val="nil"/>
          <w:bottom w:val="single" w:sz="36" w:space="0" w:color="000000" w:themeColor="text1"/>
          <w:right w:val="nil"/>
          <w:insideH w:val="nil"/>
          <w:insideV w:val="nil"/>
          <w:tl2br w:val="nil"/>
          <w:tr2bl w:val="nil"/>
        </w:tcBorders>
        <w:shd w:val="clear" w:color="auto" w:fill="DEDFDF" w:themeFill="text2" w:themeFillTint="33"/>
      </w:tcPr>
    </w:tblStylePr>
    <w:tblStylePr w:type="lastRow">
      <w:rPr>
        <w:b/>
      </w:rPr>
      <w:tblPr/>
      <w:tcPr>
        <w:tcBorders>
          <w:top w:val="single" w:sz="12" w:space="0" w:color="000000" w:themeColor="text1"/>
          <w:left w:val="nil"/>
          <w:bottom w:val="single" w:sz="12" w:space="0" w:color="000000" w:themeColor="text1"/>
          <w:right w:val="nil"/>
          <w:insideH w:val="nil"/>
          <w:insideV w:val="nil"/>
          <w:tl2br w:val="nil"/>
          <w:tr2bl w:val="nil"/>
        </w:tcBorders>
        <w:shd w:val="clear" w:color="auto" w:fill="F2F2F2" w:themeFill="background1" w:themeFillShade="F2"/>
      </w:tcPr>
    </w:tblStylePr>
    <w:tblStylePr w:type="firstCol">
      <w:rPr>
        <w:b/>
      </w:rPr>
    </w:tblStylePr>
  </w:style>
  <w:style w:type="paragraph" w:customStyle="1" w:styleId="Tablegraphtitle">
    <w:name w:val="Table/graph title"/>
    <w:next w:val="Tablegraphintrocopy"/>
    <w:uiPriority w:val="12"/>
    <w:qFormat/>
    <w:pPr>
      <w:keepNext/>
      <w:tabs>
        <w:tab w:val="left" w:pos="288"/>
      </w:tabs>
      <w:spacing w:before="480"/>
    </w:pPr>
    <w:rPr>
      <w:rFonts w:eastAsia="Times New Roman" w:cs="Times New Roman"/>
      <w:b/>
      <w:bCs/>
      <w:color w:val="79BDE8" w:themeColor="background2"/>
      <w:sz w:val="20"/>
      <w:szCs w:val="20"/>
    </w:rPr>
  </w:style>
  <w:style w:type="paragraph" w:customStyle="1" w:styleId="Tablegraphsource">
    <w:name w:val="Table/graph source"/>
    <w:basedOn w:val="Tablecopy"/>
    <w:next w:val="Bodycopy"/>
    <w:uiPriority w:val="15"/>
    <w:qFormat/>
    <w:pPr>
      <w:keepNext w:val="0"/>
      <w:spacing w:before="120" w:after="240"/>
    </w:pPr>
  </w:style>
  <w:style w:type="paragraph" w:customStyle="1" w:styleId="TablegraphNOSOURCE">
    <w:name w:val="Table/graph NO SOURCE"/>
    <w:basedOn w:val="Tablegraphsource"/>
    <w:next w:val="Bodycopy"/>
    <w:uiPriority w:val="16"/>
    <w:qFormat/>
    <w:pPr>
      <w:spacing w:before="0" w:after="120"/>
    </w:pPr>
    <w:rPr>
      <w:rFonts w:eastAsia="Times New Roman"/>
      <w:szCs w:val="20"/>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ntedtablecopy">
    <w:name w:val="Tinted table copy"/>
    <w:uiPriority w:val="11"/>
    <w:pPr>
      <w:keepNext/>
      <w:spacing w:after="120"/>
    </w:pPr>
    <w:rPr>
      <w:rFonts w:eastAsia="Calibri" w:cs="Times New Roman"/>
      <w:color w:val="000000" w:themeColor="text1"/>
      <w:szCs w:val="18"/>
    </w:rPr>
  </w:style>
  <w:style w:type="paragraph" w:customStyle="1" w:styleId="Coverfooter">
    <w:name w:val="Cover footer"/>
    <w:uiPriority w:val="19"/>
    <w:pPr>
      <w:tabs>
        <w:tab w:val="right" w:pos="10350"/>
      </w:tabs>
      <w:spacing w:after="480"/>
      <w:ind w:left="360" w:right="-2934"/>
    </w:pPr>
    <w:rPr>
      <w:rFonts w:eastAsiaTheme="minorEastAsia"/>
      <w:color w:val="FFFFFF" w:themeColor="background1"/>
      <w:sz w:val="20"/>
    </w:rPr>
  </w:style>
  <w:style w:type="paragraph" w:customStyle="1" w:styleId="Documenttype">
    <w:name w:val="Document type"/>
    <w:uiPriority w:val="2"/>
    <w:pPr>
      <w:spacing w:before="280"/>
      <w:ind w:left="1354"/>
    </w:pPr>
    <w:rPr>
      <w:rFonts w:eastAsiaTheme="minorEastAsia"/>
      <w:color w:val="FFFFFF" w:themeColor="background1"/>
      <w:sz w:val="20"/>
    </w:rPr>
  </w:style>
  <w:style w:type="character" w:customStyle="1" w:styleId="Heading4Char">
    <w:name w:val="Heading 4 Char"/>
    <w:basedOn w:val="DefaultParagraphFont"/>
    <w:link w:val="Heading4"/>
    <w:uiPriority w:val="7"/>
    <w:rPr>
      <w:rFonts w:asciiTheme="majorHAnsi" w:eastAsiaTheme="majorEastAsia" w:hAnsiTheme="majorHAnsi" w:cstheme="majorBidi"/>
      <w:b/>
      <w:iCs/>
      <w:color w:val="000000" w:themeColor="text1"/>
      <w:sz w:val="18"/>
    </w:rPr>
  </w:style>
  <w:style w:type="paragraph" w:customStyle="1" w:styleId="Calloutboxcopy">
    <w:name w:val="Callout box copy"/>
    <w:uiPriority w:val="9"/>
    <w:pPr>
      <w:keepNext/>
      <w:spacing w:before="120" w:after="120"/>
      <w:ind w:left="144" w:right="144"/>
    </w:pPr>
    <w:rPr>
      <w:rFonts w:eastAsia="Times New Roman" w:cs="Times New Roman"/>
      <w:i/>
      <w:iCs/>
      <w:color w:val="000000" w:themeColor="text1"/>
      <w:sz w:val="25"/>
      <w:szCs w:val="20"/>
    </w:rPr>
  </w:style>
  <w:style w:type="paragraph" w:customStyle="1" w:styleId="Heading1NOspacebefore">
    <w:name w:val="Heading 1 NO space before"/>
    <w:basedOn w:val="Heading1"/>
    <w:next w:val="Bodycopy"/>
    <w:uiPriority w:val="7"/>
    <w:qFormat/>
    <w:pPr>
      <w:spacing w:before="0"/>
    </w:pPr>
    <w:rPr>
      <w:rFonts w:eastAsia="Times New Roman" w:cs="Times New Roman"/>
      <w:szCs w:val="20"/>
    </w:rPr>
  </w:style>
  <w:style w:type="paragraph" w:customStyle="1" w:styleId="Docsubtitle">
    <w:name w:val="Doc subtitle"/>
    <w:next w:val="Documenttype"/>
    <w:uiPriority w:val="1"/>
    <w:pPr>
      <w:spacing w:after="320"/>
      <w:ind w:left="1354"/>
    </w:pPr>
    <w:rPr>
      <w:rFonts w:asciiTheme="majorHAnsi" w:eastAsia="Calibri" w:hAnsiTheme="majorHAnsi" w:cs="Times New Roman"/>
      <w:color w:val="79BDE8" w:themeColor="background2"/>
      <w:sz w:val="28"/>
      <w:szCs w:val="18"/>
    </w:rPr>
  </w:style>
  <w:style w:type="character" w:styleId="Hyperlink">
    <w:name w:val="Hyperlink"/>
    <w:basedOn w:val="DefaultParagraphFont"/>
    <w:uiPriority w:val="99"/>
    <w:rPr>
      <w:color w:val="000000" w:themeColor="hyperlink"/>
      <w:u w:val="single"/>
    </w:rPr>
  </w:style>
  <w:style w:type="paragraph" w:customStyle="1" w:styleId="Doctitlewhite">
    <w:name w:val="Doc title white"/>
    <w:next w:val="Docsubtitle"/>
    <w:rsid w:val="00C267E1"/>
    <w:pPr>
      <w:spacing w:after="280" w:line="560" w:lineRule="exact"/>
      <w:ind w:left="1354"/>
    </w:pPr>
    <w:rPr>
      <w:rFonts w:asciiTheme="majorHAnsi" w:eastAsia="Calibri" w:hAnsiTheme="majorHAnsi" w:cs="Times New Roman"/>
      <w:b/>
      <w:color w:val="FFFFFF" w:themeColor="background1"/>
      <w:sz w:val="40"/>
      <w:szCs w:val="18"/>
    </w:rPr>
  </w:style>
  <w:style w:type="paragraph" w:customStyle="1" w:styleId="Introheading">
    <w:name w:val="Intro heading"/>
    <w:next w:val="Introcopy"/>
    <w:uiPriority w:val="5"/>
    <w:qFormat/>
    <w:pPr>
      <w:keepNext/>
      <w:spacing w:before="360" w:after="240"/>
    </w:pPr>
    <w:rPr>
      <w:rFonts w:asciiTheme="majorHAnsi" w:eastAsia="Calibri" w:hAnsiTheme="majorHAnsi" w:cs="Times New Roman"/>
      <w:color w:val="79BDE8" w:themeColor="background2"/>
      <w:sz w:val="28"/>
      <w:szCs w:val="18"/>
    </w:rPr>
  </w:style>
  <w:style w:type="paragraph" w:customStyle="1" w:styleId="ContentsTitle">
    <w:name w:val="Contents/Title"/>
    <w:next w:val="Bodycopy"/>
    <w:uiPriority w:val="3"/>
    <w:pPr>
      <w:spacing w:after="480"/>
    </w:pPr>
    <w:rPr>
      <w:rFonts w:asciiTheme="majorHAnsi" w:eastAsia="Times New Roman" w:hAnsiTheme="majorHAnsi" w:cs="Times New Roman"/>
      <w:b/>
      <w:color w:val="79BDE8" w:themeColor="background2"/>
      <w:sz w:val="48"/>
      <w:szCs w:val="20"/>
    </w:rPr>
  </w:style>
  <w:style w:type="paragraph" w:styleId="TOC1">
    <w:name w:val="toc 1"/>
    <w:next w:val="Bodycopy"/>
    <w:uiPriority w:val="39"/>
    <w:pPr>
      <w:tabs>
        <w:tab w:val="right" w:pos="4680"/>
      </w:tabs>
      <w:spacing w:after="360"/>
      <w:ind w:right="7056"/>
    </w:pPr>
    <w:rPr>
      <w:rFonts w:ascii="Arial" w:eastAsia="Calibri" w:hAnsi="Arial" w:cs="Times New Roman"/>
      <w:noProof/>
      <w:color w:val="000000" w:themeColor="text1"/>
      <w:sz w:val="28"/>
      <w:szCs w:val="18"/>
    </w:rPr>
  </w:style>
  <w:style w:type="paragraph" w:customStyle="1" w:styleId="Contentsbiotitle">
    <w:name w:val="Contents bio title"/>
    <w:uiPriority w:val="4"/>
    <w:pPr>
      <w:keepNext/>
    </w:pPr>
    <w:rPr>
      <w:rFonts w:eastAsia="Calibri" w:cs="Times New Roman"/>
      <w:color w:val="000000" w:themeColor="text1"/>
      <w:sz w:val="18"/>
      <w:szCs w:val="18"/>
    </w:rPr>
  </w:style>
  <w:style w:type="paragraph" w:customStyle="1" w:styleId="Contentsbioname">
    <w:name w:val="Contents bio name"/>
    <w:basedOn w:val="Contentsbiotitle"/>
    <w:next w:val="Contentsbiotitle"/>
    <w:uiPriority w:val="4"/>
    <w:pPr>
      <w:spacing w:after="120"/>
    </w:pPr>
    <w:rPr>
      <w:b/>
      <w:sz w:val="24"/>
    </w:rPr>
  </w:style>
  <w:style w:type="paragraph" w:styleId="FootnoteText">
    <w:name w:val="footnote text"/>
    <w:link w:val="FootnoteTextChar"/>
    <w:uiPriority w:val="99"/>
    <w:unhideWhenUsed/>
    <w:pPr>
      <w:ind w:left="86" w:hanging="86"/>
    </w:pPr>
    <w:rPr>
      <w:rFonts w:eastAsiaTheme="minorEastAsia"/>
      <w:color w:val="000000" w:themeColor="text1"/>
      <w:sz w:val="14"/>
      <w:szCs w:val="20"/>
    </w:rPr>
  </w:style>
  <w:style w:type="character" w:customStyle="1" w:styleId="FootnoteTextChar">
    <w:name w:val="Footnote Text Char"/>
    <w:basedOn w:val="DefaultParagraphFont"/>
    <w:link w:val="FootnoteText"/>
    <w:uiPriority w:val="99"/>
    <w:rPr>
      <w:rFonts w:eastAsiaTheme="minorEastAsia"/>
      <w:color w:val="000000" w:themeColor="text1"/>
      <w:sz w:val="14"/>
      <w:szCs w:val="20"/>
    </w:rPr>
  </w:style>
  <w:style w:type="character" w:styleId="FootnoteReference">
    <w:name w:val="footnote reference"/>
    <w:basedOn w:val="DefaultParagraphFont"/>
    <w:uiPriority w:val="99"/>
    <w:semiHidden/>
    <w:unhideWhenUsed/>
    <w:rPr>
      <w:vertAlign w:val="superscript"/>
    </w:rPr>
  </w:style>
  <w:style w:type="paragraph" w:customStyle="1" w:styleId="Back-hdgsnotinTOC">
    <w:name w:val="Back - hdgs not in TOC"/>
    <w:basedOn w:val="Bodycopy"/>
    <w:uiPriority w:val="17"/>
    <w:pPr>
      <w:spacing w:before="600" w:after="240"/>
      <w:ind w:left="360" w:right="396"/>
    </w:pPr>
    <w:rPr>
      <w:rFonts w:eastAsia="Times New Roman"/>
      <w:b/>
      <w:bCs/>
      <w:color w:val="79BDE8" w:themeColor="background2"/>
      <w:sz w:val="2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Tablecopy">
    <w:name w:val="Table copy"/>
    <w:uiPriority w:val="14"/>
    <w:qFormat/>
    <w:pPr>
      <w:keepNext/>
      <w:spacing w:before="60" w:after="60"/>
      <w:ind w:right="144"/>
    </w:pPr>
    <w:rPr>
      <w:rFonts w:eastAsia="Calibri" w:cs="Times New Roman"/>
      <w:color w:val="000000" w:themeColor="text1"/>
      <w:spacing w:val="2"/>
      <w:sz w:val="14"/>
      <w:szCs w:val="18"/>
    </w:rPr>
  </w:style>
  <w:style w:type="character" w:customStyle="1" w:styleId="CommentTextChar">
    <w:name w:val="Comment Text Char"/>
    <w:basedOn w:val="DefaultParagraphFont"/>
    <w:link w:val="CommentText"/>
    <w:uiPriority w:val="99"/>
    <w:rPr>
      <w:rFonts w:eastAsiaTheme="minorEastAsia"/>
      <w:color w:val="00B05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color w:val="00B050"/>
      <w:sz w:val="20"/>
      <w:szCs w:val="20"/>
    </w:rPr>
  </w:style>
  <w:style w:type="character" w:customStyle="1" w:styleId="Back-copyboldcolorCHAR">
    <w:name w:val="Back - copy bold + color CHAR"/>
    <w:basedOn w:val="DefaultParagraphFont"/>
    <w:uiPriority w:val="18"/>
    <w:rPr>
      <w:b/>
      <w:color w:val="79BDE8" w:themeColor="background2"/>
    </w:rPr>
  </w:style>
  <w:style w:type="paragraph" w:styleId="Revision">
    <w:name w:val="Revision"/>
    <w:hidden/>
    <w:uiPriority w:val="99"/>
    <w:semiHidden/>
    <w:rPr>
      <w:rFonts w:eastAsiaTheme="minorEastAsia"/>
      <w:color w:val="00B050"/>
      <w:sz w:val="18"/>
    </w:rPr>
  </w:style>
  <w:style w:type="paragraph" w:customStyle="1" w:styleId="Pulloutcopy">
    <w:name w:val="Pullout copy"/>
    <w:uiPriority w:val="10"/>
    <w:pPr>
      <w:keepNext/>
    </w:pPr>
    <w:rPr>
      <w:rFonts w:eastAsia="Times New Roman" w:cs="Times New Roman"/>
      <w:color w:val="000000" w:themeColor="text1"/>
      <w:sz w:val="18"/>
      <w:szCs w:val="20"/>
    </w:rPr>
  </w:style>
  <w:style w:type="paragraph" w:customStyle="1" w:styleId="Pulloutfacthdg">
    <w:name w:val="Pullout fact hdg"/>
    <w:basedOn w:val="Pulloutcopy"/>
    <w:next w:val="Pulloutcopy"/>
    <w:uiPriority w:val="9"/>
    <w:pPr>
      <w:spacing w:after="120"/>
    </w:pPr>
    <w:rPr>
      <w:rFonts w:ascii="Arial" w:hAnsi="Arial"/>
      <w:b/>
      <w:bCs/>
      <w:sz w:val="20"/>
    </w:rPr>
  </w:style>
  <w:style w:type="paragraph" w:customStyle="1" w:styleId="Tintedtablehdg">
    <w:name w:val="Tinted table hdg"/>
    <w:basedOn w:val="Tintedtablecopy"/>
    <w:uiPriority w:val="10"/>
    <w:rPr>
      <w:b/>
      <w:bCs/>
    </w:rPr>
  </w:style>
  <w:style w:type="paragraph" w:customStyle="1" w:styleId="Heading2NOspacebefore">
    <w:name w:val="Heading 2 NO space before"/>
    <w:basedOn w:val="Heading2"/>
    <w:next w:val="Bodycopy"/>
    <w:uiPriority w:val="7"/>
    <w:qFormat/>
    <w:pPr>
      <w:spacing w:before="0"/>
    </w:pPr>
    <w:rPr>
      <w:rFonts w:eastAsia="Times New Roman" w:cs="Times New Roman"/>
      <w:bCs/>
      <w:szCs w:val="20"/>
    </w:rPr>
  </w:style>
  <w:style w:type="numbering" w:customStyle="1" w:styleId="Alphanumericlist">
    <w:name w:val="Alphanumeric list"/>
    <w:uiPriority w:val="99"/>
    <w:pPr>
      <w:numPr>
        <w:numId w:val="1"/>
      </w:numPr>
    </w:pPr>
  </w:style>
  <w:style w:type="numbering" w:customStyle="1" w:styleId="Bulletsymbols">
    <w:name w:val="Bullet symbols"/>
    <w:uiPriority w:val="99"/>
    <w:pPr>
      <w:numPr>
        <w:numId w:val="2"/>
      </w:numPr>
    </w:pPr>
  </w:style>
  <w:style w:type="numbering" w:customStyle="1" w:styleId="Decimaloutline">
    <w:name w:val="Decimal outline"/>
    <w:uiPriority w:val="99"/>
    <w:pPr>
      <w:numPr>
        <w:numId w:val="3"/>
      </w:numPr>
    </w:pPr>
  </w:style>
  <w:style w:type="paragraph" w:customStyle="1" w:styleId="Bulletlistcopy">
    <w:name w:val="Bullet/list copy"/>
    <w:basedOn w:val="Bodycopy"/>
    <w:uiPriority w:val="8"/>
    <w:qFormat/>
    <w:rsid w:val="009C26E3"/>
    <w:pPr>
      <w:numPr>
        <w:numId w:val="4"/>
      </w:numPr>
      <w:spacing w:line="220" w:lineRule="exact"/>
      <w:ind w:left="360"/>
    </w:pPr>
    <w:rPr>
      <w:rFonts w:eastAsia="Times New Roman"/>
      <w:szCs w:val="20"/>
    </w:rPr>
  </w:style>
  <w:style w:type="paragraph" w:customStyle="1" w:styleId="Iconintablecolumn">
    <w:name w:val="Icon in table column"/>
    <w:uiPriority w:val="12"/>
    <w:pPr>
      <w:keepNext/>
      <w:jc w:val="center"/>
    </w:pPr>
    <w:rPr>
      <w:rFonts w:eastAsia="Times New Roman" w:cs="Times New Roman"/>
      <w:color w:val="000000" w:themeColor="text1"/>
      <w:sz w:val="18"/>
      <w:szCs w:val="20"/>
    </w:rPr>
  </w:style>
  <w:style w:type="paragraph" w:customStyle="1" w:styleId="Tintedtablecopysmall">
    <w:name w:val="Tinted table copy small"/>
    <w:basedOn w:val="Tintedtablecopy"/>
    <w:uiPriority w:val="11"/>
    <w:rPr>
      <w:sz w:val="18"/>
    </w:rPr>
  </w:style>
  <w:style w:type="paragraph" w:customStyle="1" w:styleId="Tintedtablehdgsmall">
    <w:name w:val="Tinted table hdg small"/>
    <w:basedOn w:val="Tintedtablehdg"/>
    <w:uiPriority w:val="10"/>
    <w:rPr>
      <w:sz w:val="18"/>
    </w:rPr>
  </w:style>
  <w:style w:type="paragraph" w:customStyle="1" w:styleId="Tablecopyright">
    <w:name w:val="Table copy right"/>
    <w:basedOn w:val="Tablecopy"/>
    <w:uiPriority w:val="14"/>
    <w:qFormat/>
    <w:pPr>
      <w:jc w:val="right"/>
    </w:pPr>
    <w:rPr>
      <w:rFonts w:eastAsia="Times New Roman"/>
      <w:szCs w:val="20"/>
    </w:rPr>
  </w:style>
  <w:style w:type="paragraph" w:customStyle="1" w:styleId="Tintedtablelargecolumn">
    <w:name w:val="Tinted table large # column"/>
    <w:uiPriority w:val="11"/>
    <w:rPr>
      <w:rFonts w:eastAsia="Calibri" w:cs="Times New Roman"/>
      <w:b/>
      <w:bCs/>
      <w:color w:val="000000" w:themeColor="text1"/>
      <w:sz w:val="36"/>
      <w:szCs w:val="18"/>
    </w:rPr>
  </w:style>
  <w:style w:type="character" w:customStyle="1" w:styleId="TintedtablesymbolCHAR">
    <w:name w:val="Tinted table symbol CHAR"/>
    <w:basedOn w:val="DefaultParagraphFont"/>
    <w:uiPriority w:val="11"/>
    <w:rPr>
      <w:b w:val="0"/>
      <w:color w:val="000000" w:themeColor="text1"/>
      <w:sz w:val="72"/>
    </w:rPr>
  </w:style>
  <w:style w:type="paragraph" w:customStyle="1" w:styleId="Pulloutfacthdg2">
    <w:name w:val="Pullout fact hdg 2"/>
    <w:basedOn w:val="Pulloutfacthdg"/>
    <w:next w:val="Pulloutcopy"/>
    <w:uiPriority w:val="9"/>
    <w:pPr>
      <w:spacing w:after="80"/>
    </w:pPr>
    <w:rPr>
      <w:rFonts w:ascii="Arial Bold" w:hAnsi="Arial Bold"/>
      <w:caps/>
      <w:sz w:val="16"/>
    </w:rPr>
  </w:style>
  <w:style w:type="character" w:customStyle="1" w:styleId="AuthornameCHAR">
    <w:name w:val="Author name CHAR"/>
    <w:basedOn w:val="DefaultParagraphFont"/>
    <w:uiPriority w:val="5"/>
    <w:rPr>
      <w:b/>
      <w:color w:val="000000" w:themeColor="text1"/>
    </w:rPr>
  </w:style>
  <w:style w:type="paragraph" w:customStyle="1" w:styleId="TablegraphtitleNOspacebefore">
    <w:name w:val="Table/graph title NO space before"/>
    <w:basedOn w:val="Tablegraphtitle"/>
    <w:next w:val="Tablegraphintrocopy"/>
    <w:uiPriority w:val="12"/>
    <w:qFormat/>
    <w:pPr>
      <w:spacing w:before="0" w:after="120"/>
    </w:pPr>
  </w:style>
  <w:style w:type="paragraph" w:customStyle="1" w:styleId="Back-hdgsnotinTOCnoindent">
    <w:name w:val="Back - hdgs not in TOC no indent"/>
    <w:basedOn w:val="Back-hdgsnotinTOC"/>
    <w:uiPriority w:val="17"/>
    <w:pPr>
      <w:ind w:left="0"/>
    </w:pPr>
  </w:style>
  <w:style w:type="paragraph" w:styleId="EndnoteText">
    <w:name w:val="endnote text"/>
    <w:basedOn w:val="FootnoteText"/>
    <w:link w:val="EndnoteTextChar"/>
    <w:uiPriority w:val="99"/>
    <w:unhideWhenUsed/>
  </w:style>
  <w:style w:type="character" w:customStyle="1" w:styleId="EndnoteTextChar">
    <w:name w:val="Endnote Text Char"/>
    <w:basedOn w:val="DefaultParagraphFont"/>
    <w:link w:val="EndnoteText"/>
    <w:uiPriority w:val="99"/>
    <w:rPr>
      <w:rFonts w:eastAsiaTheme="minorEastAsia"/>
      <w:color w:val="000000" w:themeColor="text1"/>
      <w:sz w:val="14"/>
      <w:szCs w:val="20"/>
    </w:rPr>
  </w:style>
  <w:style w:type="character" w:styleId="EndnoteReference">
    <w:name w:val="endnote reference"/>
    <w:basedOn w:val="DefaultParagraphFont"/>
    <w:uiPriority w:val="99"/>
    <w:semiHidden/>
    <w:unhideWhenUsed/>
    <w:rPr>
      <w:vertAlign w:val="superscript"/>
    </w:rPr>
  </w:style>
  <w:style w:type="paragraph" w:customStyle="1" w:styleId="Placedelement">
    <w:name w:val="Placed element"/>
    <w:next w:val="Bodycopy"/>
    <w:uiPriority w:val="15"/>
    <w:pPr>
      <w:ind w:left="-43"/>
    </w:pPr>
    <w:rPr>
      <w:rFonts w:ascii="Arial" w:eastAsia="Times New Roman" w:hAnsi="Arial" w:cs="Times New Roman"/>
      <w:color w:val="000000" w:themeColor="text1"/>
      <w:sz w:val="16"/>
      <w:szCs w:val="20"/>
    </w:rPr>
  </w:style>
  <w:style w:type="paragraph" w:customStyle="1" w:styleId="Doctitleblack">
    <w:name w:val="Doc title black"/>
    <w:basedOn w:val="Doctitlewhite"/>
    <w:next w:val="Docsubtitle"/>
    <w:rPr>
      <w:bCs/>
      <w:color w:val="000000" w:themeColor="text1"/>
    </w:rPr>
  </w:style>
  <w:style w:type="paragraph" w:customStyle="1" w:styleId="Tablecopycentered">
    <w:name w:val="Table copy centered"/>
    <w:basedOn w:val="Tablecopy"/>
    <w:uiPriority w:val="14"/>
    <w:qFormat/>
    <w:pPr>
      <w:jc w:val="center"/>
    </w:pPr>
    <w:rPr>
      <w:rFonts w:eastAsia="Times New Roman"/>
      <w:szCs w:val="20"/>
    </w:rPr>
  </w:style>
  <w:style w:type="paragraph" w:styleId="ListParagraph">
    <w:name w:val="List Paragraph"/>
    <w:basedOn w:val="Normal"/>
    <w:uiPriority w:val="34"/>
    <w:qFormat/>
    <w:rsid w:val="00350F1D"/>
    <w:pPr>
      <w:spacing w:after="0"/>
      <w:ind w:left="720" w:right="0"/>
      <w:contextualSpacing/>
    </w:pPr>
    <w:rPr>
      <w:rFonts w:ascii="Calibri" w:eastAsiaTheme="minorHAnsi" w:hAnsi="Calibri" w:cs="Calibri"/>
      <w:color w:val="auto"/>
      <w:sz w:val="22"/>
      <w:szCs w:val="22"/>
      <w:lang w:val="en-AU"/>
    </w:rPr>
  </w:style>
  <w:style w:type="paragraph" w:customStyle="1" w:styleId="Default">
    <w:name w:val="Default"/>
    <w:rsid w:val="005F066A"/>
    <w:pPr>
      <w:autoSpaceDE w:val="0"/>
      <w:autoSpaceDN w:val="0"/>
      <w:adjustRightInd w:val="0"/>
    </w:pPr>
    <w:rPr>
      <w:rFonts w:ascii="Arial" w:hAnsi="Arial" w:cs="Arial"/>
      <w:color w:val="000000"/>
      <w:lang w:val="en-AU"/>
    </w:rPr>
  </w:style>
  <w:style w:type="character" w:styleId="UnresolvedMention">
    <w:name w:val="Unresolved Mention"/>
    <w:basedOn w:val="DefaultParagraphFont"/>
    <w:uiPriority w:val="99"/>
    <w:semiHidden/>
    <w:unhideWhenUsed/>
    <w:rsid w:val="00825ECC"/>
    <w:rPr>
      <w:color w:val="605E5C"/>
      <w:shd w:val="clear" w:color="auto" w:fill="E1DFDD"/>
    </w:rPr>
  </w:style>
  <w:style w:type="paragraph" w:styleId="NormalWeb">
    <w:name w:val="Normal (Web)"/>
    <w:basedOn w:val="Normal"/>
    <w:uiPriority w:val="99"/>
    <w:unhideWhenUsed/>
    <w:rsid w:val="003A0D31"/>
    <w:pPr>
      <w:spacing w:before="100" w:beforeAutospacing="1" w:after="100" w:afterAutospacing="1"/>
      <w:ind w:right="0"/>
    </w:pPr>
    <w:rPr>
      <w:rFonts w:ascii="Times New Roman" w:eastAsia="Times New Roman" w:hAnsi="Times New Roman" w:cs="Times New Roman"/>
      <w:color w:val="auto"/>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2684">
      <w:bodyDiv w:val="1"/>
      <w:marLeft w:val="0"/>
      <w:marRight w:val="0"/>
      <w:marTop w:val="0"/>
      <w:marBottom w:val="0"/>
      <w:divBdr>
        <w:top w:val="none" w:sz="0" w:space="0" w:color="auto"/>
        <w:left w:val="none" w:sz="0" w:space="0" w:color="auto"/>
        <w:bottom w:val="none" w:sz="0" w:space="0" w:color="auto"/>
        <w:right w:val="none" w:sz="0" w:space="0" w:color="auto"/>
      </w:divBdr>
    </w:div>
    <w:div w:id="431516326">
      <w:bodyDiv w:val="1"/>
      <w:marLeft w:val="0"/>
      <w:marRight w:val="0"/>
      <w:marTop w:val="0"/>
      <w:marBottom w:val="0"/>
      <w:divBdr>
        <w:top w:val="none" w:sz="0" w:space="0" w:color="auto"/>
        <w:left w:val="none" w:sz="0" w:space="0" w:color="auto"/>
        <w:bottom w:val="none" w:sz="0" w:space="0" w:color="auto"/>
        <w:right w:val="none" w:sz="0" w:space="0" w:color="auto"/>
      </w:divBdr>
    </w:div>
    <w:div w:id="627972102">
      <w:bodyDiv w:val="1"/>
      <w:marLeft w:val="0"/>
      <w:marRight w:val="0"/>
      <w:marTop w:val="0"/>
      <w:marBottom w:val="0"/>
      <w:divBdr>
        <w:top w:val="none" w:sz="0" w:space="0" w:color="auto"/>
        <w:left w:val="none" w:sz="0" w:space="0" w:color="auto"/>
        <w:bottom w:val="none" w:sz="0" w:space="0" w:color="auto"/>
        <w:right w:val="none" w:sz="0" w:space="0" w:color="auto"/>
      </w:divBdr>
    </w:div>
    <w:div w:id="666632427">
      <w:bodyDiv w:val="1"/>
      <w:marLeft w:val="0"/>
      <w:marRight w:val="0"/>
      <w:marTop w:val="0"/>
      <w:marBottom w:val="0"/>
      <w:divBdr>
        <w:top w:val="none" w:sz="0" w:space="0" w:color="auto"/>
        <w:left w:val="none" w:sz="0" w:space="0" w:color="auto"/>
        <w:bottom w:val="none" w:sz="0" w:space="0" w:color="auto"/>
        <w:right w:val="none" w:sz="0" w:space="0" w:color="auto"/>
      </w:divBdr>
    </w:div>
    <w:div w:id="778180791">
      <w:bodyDiv w:val="1"/>
      <w:marLeft w:val="0"/>
      <w:marRight w:val="0"/>
      <w:marTop w:val="0"/>
      <w:marBottom w:val="0"/>
      <w:divBdr>
        <w:top w:val="none" w:sz="0" w:space="0" w:color="auto"/>
        <w:left w:val="none" w:sz="0" w:space="0" w:color="auto"/>
        <w:bottom w:val="none" w:sz="0" w:space="0" w:color="auto"/>
        <w:right w:val="none" w:sz="0" w:space="0" w:color="auto"/>
      </w:divBdr>
    </w:div>
    <w:div w:id="814182441">
      <w:bodyDiv w:val="1"/>
      <w:marLeft w:val="0"/>
      <w:marRight w:val="0"/>
      <w:marTop w:val="0"/>
      <w:marBottom w:val="0"/>
      <w:divBdr>
        <w:top w:val="none" w:sz="0" w:space="0" w:color="auto"/>
        <w:left w:val="none" w:sz="0" w:space="0" w:color="auto"/>
        <w:bottom w:val="none" w:sz="0" w:space="0" w:color="auto"/>
        <w:right w:val="none" w:sz="0" w:space="0" w:color="auto"/>
      </w:divBdr>
    </w:div>
    <w:div w:id="893812647">
      <w:bodyDiv w:val="1"/>
      <w:marLeft w:val="0"/>
      <w:marRight w:val="0"/>
      <w:marTop w:val="0"/>
      <w:marBottom w:val="0"/>
      <w:divBdr>
        <w:top w:val="none" w:sz="0" w:space="0" w:color="auto"/>
        <w:left w:val="none" w:sz="0" w:space="0" w:color="auto"/>
        <w:bottom w:val="none" w:sz="0" w:space="0" w:color="auto"/>
        <w:right w:val="none" w:sz="0" w:space="0" w:color="auto"/>
      </w:divBdr>
    </w:div>
    <w:div w:id="1025524405">
      <w:bodyDiv w:val="1"/>
      <w:marLeft w:val="0"/>
      <w:marRight w:val="0"/>
      <w:marTop w:val="0"/>
      <w:marBottom w:val="0"/>
      <w:divBdr>
        <w:top w:val="none" w:sz="0" w:space="0" w:color="auto"/>
        <w:left w:val="none" w:sz="0" w:space="0" w:color="auto"/>
        <w:bottom w:val="none" w:sz="0" w:space="0" w:color="auto"/>
        <w:right w:val="none" w:sz="0" w:space="0" w:color="auto"/>
      </w:divBdr>
    </w:div>
    <w:div w:id="1300064140">
      <w:bodyDiv w:val="1"/>
      <w:marLeft w:val="0"/>
      <w:marRight w:val="0"/>
      <w:marTop w:val="0"/>
      <w:marBottom w:val="0"/>
      <w:divBdr>
        <w:top w:val="none" w:sz="0" w:space="0" w:color="auto"/>
        <w:left w:val="none" w:sz="0" w:space="0" w:color="auto"/>
        <w:bottom w:val="none" w:sz="0" w:space="0" w:color="auto"/>
        <w:right w:val="none" w:sz="0" w:space="0" w:color="auto"/>
      </w:divBdr>
    </w:div>
    <w:div w:id="1388063928">
      <w:bodyDiv w:val="1"/>
      <w:marLeft w:val="0"/>
      <w:marRight w:val="0"/>
      <w:marTop w:val="0"/>
      <w:marBottom w:val="0"/>
      <w:divBdr>
        <w:top w:val="none" w:sz="0" w:space="0" w:color="auto"/>
        <w:left w:val="none" w:sz="0" w:space="0" w:color="auto"/>
        <w:bottom w:val="none" w:sz="0" w:space="0" w:color="auto"/>
        <w:right w:val="none" w:sz="0" w:space="0" w:color="auto"/>
      </w:divBdr>
    </w:div>
    <w:div w:id="1464696191">
      <w:bodyDiv w:val="1"/>
      <w:marLeft w:val="0"/>
      <w:marRight w:val="0"/>
      <w:marTop w:val="0"/>
      <w:marBottom w:val="0"/>
      <w:divBdr>
        <w:top w:val="none" w:sz="0" w:space="0" w:color="auto"/>
        <w:left w:val="none" w:sz="0" w:space="0" w:color="auto"/>
        <w:bottom w:val="none" w:sz="0" w:space="0" w:color="auto"/>
        <w:right w:val="none" w:sz="0" w:space="0" w:color="auto"/>
      </w:divBdr>
    </w:div>
    <w:div w:id="1488402992">
      <w:bodyDiv w:val="1"/>
      <w:marLeft w:val="0"/>
      <w:marRight w:val="0"/>
      <w:marTop w:val="0"/>
      <w:marBottom w:val="0"/>
      <w:divBdr>
        <w:top w:val="none" w:sz="0" w:space="0" w:color="auto"/>
        <w:left w:val="none" w:sz="0" w:space="0" w:color="auto"/>
        <w:bottom w:val="none" w:sz="0" w:space="0" w:color="auto"/>
        <w:right w:val="none" w:sz="0" w:space="0" w:color="auto"/>
      </w:divBdr>
    </w:div>
    <w:div w:id="1494298930">
      <w:bodyDiv w:val="1"/>
      <w:marLeft w:val="0"/>
      <w:marRight w:val="0"/>
      <w:marTop w:val="0"/>
      <w:marBottom w:val="0"/>
      <w:divBdr>
        <w:top w:val="none" w:sz="0" w:space="0" w:color="auto"/>
        <w:left w:val="none" w:sz="0" w:space="0" w:color="auto"/>
        <w:bottom w:val="none" w:sz="0" w:space="0" w:color="auto"/>
        <w:right w:val="none" w:sz="0" w:space="0" w:color="auto"/>
      </w:divBdr>
    </w:div>
    <w:div w:id="1544363391">
      <w:bodyDiv w:val="1"/>
      <w:marLeft w:val="0"/>
      <w:marRight w:val="0"/>
      <w:marTop w:val="0"/>
      <w:marBottom w:val="0"/>
      <w:divBdr>
        <w:top w:val="none" w:sz="0" w:space="0" w:color="auto"/>
        <w:left w:val="none" w:sz="0" w:space="0" w:color="auto"/>
        <w:bottom w:val="none" w:sz="0" w:space="0" w:color="auto"/>
        <w:right w:val="none" w:sz="0" w:space="0" w:color="auto"/>
      </w:divBdr>
    </w:div>
    <w:div w:id="1547639155">
      <w:bodyDiv w:val="1"/>
      <w:marLeft w:val="0"/>
      <w:marRight w:val="0"/>
      <w:marTop w:val="0"/>
      <w:marBottom w:val="0"/>
      <w:divBdr>
        <w:top w:val="none" w:sz="0" w:space="0" w:color="auto"/>
        <w:left w:val="none" w:sz="0" w:space="0" w:color="auto"/>
        <w:bottom w:val="none" w:sz="0" w:space="0" w:color="auto"/>
        <w:right w:val="none" w:sz="0" w:space="0" w:color="auto"/>
      </w:divBdr>
    </w:div>
    <w:div w:id="1679697162">
      <w:bodyDiv w:val="1"/>
      <w:marLeft w:val="0"/>
      <w:marRight w:val="0"/>
      <w:marTop w:val="0"/>
      <w:marBottom w:val="0"/>
      <w:divBdr>
        <w:top w:val="none" w:sz="0" w:space="0" w:color="auto"/>
        <w:left w:val="none" w:sz="0" w:space="0" w:color="auto"/>
        <w:bottom w:val="none" w:sz="0" w:space="0" w:color="auto"/>
        <w:right w:val="none" w:sz="0" w:space="0" w:color="auto"/>
      </w:divBdr>
    </w:div>
    <w:div w:id="1904679018">
      <w:bodyDiv w:val="1"/>
      <w:marLeft w:val="0"/>
      <w:marRight w:val="0"/>
      <w:marTop w:val="0"/>
      <w:marBottom w:val="0"/>
      <w:divBdr>
        <w:top w:val="none" w:sz="0" w:space="0" w:color="auto"/>
        <w:left w:val="none" w:sz="0" w:space="0" w:color="auto"/>
        <w:bottom w:val="none" w:sz="0" w:space="0" w:color="auto"/>
        <w:right w:val="none" w:sz="0" w:space="0" w:color="auto"/>
      </w:divBdr>
    </w:div>
    <w:div w:id="1923250701">
      <w:bodyDiv w:val="1"/>
      <w:marLeft w:val="0"/>
      <w:marRight w:val="0"/>
      <w:marTop w:val="0"/>
      <w:marBottom w:val="0"/>
      <w:divBdr>
        <w:top w:val="none" w:sz="0" w:space="0" w:color="auto"/>
        <w:left w:val="none" w:sz="0" w:space="0" w:color="auto"/>
        <w:bottom w:val="none" w:sz="0" w:space="0" w:color="auto"/>
        <w:right w:val="none" w:sz="0" w:space="0" w:color="auto"/>
      </w:divBdr>
    </w:div>
    <w:div w:id="19764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Russell Investments">
  <a:themeElements>
    <a:clrScheme name="Custom 74">
      <a:dk1>
        <a:srgbClr val="000000"/>
      </a:dk1>
      <a:lt1>
        <a:srgbClr val="FFFFFF"/>
      </a:lt1>
      <a:dk2>
        <a:srgbClr val="5F6061"/>
      </a:dk2>
      <a:lt2>
        <a:srgbClr val="79BDE8"/>
      </a:lt2>
      <a:accent1>
        <a:srgbClr val="F57E20"/>
      </a:accent1>
      <a:accent2>
        <a:srgbClr val="79BDE8"/>
      </a:accent2>
      <a:accent3>
        <a:srgbClr val="A39A93"/>
      </a:accent3>
      <a:accent4>
        <a:srgbClr val="005596"/>
      </a:accent4>
      <a:accent5>
        <a:srgbClr val="EFC163"/>
      </a:accent5>
      <a:accent6>
        <a:srgbClr val="982024"/>
      </a:accent6>
      <a:hlink>
        <a:srgbClr val="000000"/>
      </a:hlink>
      <a:folHlink>
        <a:srgbClr val="5F6061"/>
      </a:folHlink>
    </a:clrScheme>
    <a:fontScheme name="Russell Research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raClrScheme>
      <a:clrScheme name="Russell Investments">
        <a:dk1>
          <a:srgbClr val="000000"/>
        </a:dk1>
        <a:lt1>
          <a:srgbClr val="FFFFFF"/>
        </a:lt1>
        <a:dk2>
          <a:srgbClr val="5F6061"/>
        </a:dk2>
        <a:lt2>
          <a:srgbClr val="DBD8BD"/>
        </a:lt2>
        <a:accent1>
          <a:srgbClr val="F57E20"/>
        </a:accent1>
        <a:accent2>
          <a:srgbClr val="79BDE8"/>
        </a:accent2>
        <a:accent3>
          <a:srgbClr val="A39A93"/>
        </a:accent3>
        <a:accent4>
          <a:srgbClr val="005596"/>
        </a:accent4>
        <a:accent5>
          <a:srgbClr val="982024"/>
        </a:accent5>
        <a:accent6>
          <a:srgbClr val="EFC163"/>
        </a:accent6>
        <a:hlink>
          <a:srgbClr val="000000"/>
        </a:hlink>
        <a:folHlink>
          <a:srgbClr val="000000"/>
        </a:folHlink>
      </a:clrScheme>
    </a:extraClrScheme>
  </a:extraClrSchemeLst>
  <a:custClrLst>
    <a:custClr name="Black">
      <a:srgbClr val="000000"/>
    </a:custClr>
    <a:custClr name="White">
      <a:srgbClr val="FFFFFF"/>
    </a:custClr>
    <a:custClr name="PMS 425">
      <a:srgbClr val="5F6062"/>
    </a:custClr>
    <a:custClr name="PMS 152">
      <a:srgbClr val="F57E20"/>
    </a:custClr>
    <a:custClr name="PMS 292">
      <a:srgbClr val="79BDE8"/>
    </a:custClr>
    <a:custClr name="PMS WARM GRAY 7">
      <a:srgbClr val="A49A94"/>
    </a:custClr>
    <a:custClr name="PMS 453">
      <a:srgbClr val="DBD8BD"/>
    </a:custClr>
    <a:custClr name="PMS 294">
      <a:srgbClr val="005596"/>
    </a:custClr>
    <a:custClr name="PMS 292+45k">
      <a:srgbClr val="4B7995"/>
    </a:custClr>
    <a:custClr name="PMS 292+30k">
      <a:srgbClr val="5B90B0"/>
    </a:custClr>
    <a:custClr name="PMS 292+15k">
      <a:srgbClr val="6AA6CB"/>
    </a:custClr>
    <a:custClr name="PMS 152+15k">
      <a:srgbClr val="D46E1B"/>
    </a:custClr>
    <a:custClr name="PMS WARM GRAY 7 (AT 50%)">
      <a:srgbClr val="CBC5C2"/>
    </a:custClr>
    <a:custClr name="PMS WARM GRAY 7+20k">
      <a:srgbClr val="7D746E"/>
    </a:custClr>
    <a:custClr name="PMS 453+10k">
      <a:srgbClr val="C7C5AD"/>
    </a:custClr>
    <a:custClr name="PMS 453+20k">
      <a:srgbClr val="B5B49F"/>
    </a:custClr>
    <a:custClr name="CORP DK BROWN">
      <a:srgbClr val="4E180E"/>
    </a:custClr>
    <a:custClr name="CORP MED BROWN">
      <a:srgbClr val="7C3A00"/>
    </a:custClr>
    <a:custClr name="CORP LT BROWN">
      <a:srgbClr val="AA703F"/>
    </a:custClr>
    <a:custClr name="CORP CRIMSON">
      <a:srgbClr val="982124"/>
    </a:custClr>
    <a:custClr name="CORP RED">
      <a:srgbClr val="C44F27"/>
    </a:custClr>
    <a:custClr name="CORP YELLOW">
      <a:srgbClr val="EFC163"/>
    </a:custClr>
    <a:custClr name="CORP PURPLE">
      <a:srgbClr val="582857"/>
    </a:custClr>
    <a:custClr name="CORP LT PURPLE">
      <a:srgbClr val="866781"/>
    </a:custClr>
    <a:custClr name="CORP GREEN">
      <a:srgbClr val="607653"/>
    </a:custClr>
    <a:custClr name="CORP LT GREEN">
      <a:srgbClr val="91AA88"/>
    </a:custClr>
    <a:custClr name=" ">
      <a:srgbClr val="FFFFFF"/>
    </a:custClr>
    <a:custClr name=" ">
      <a:srgbClr val="FFFFFF"/>
    </a:custClr>
    <a:custClr name=" ">
      <a:srgbClr val="FFFFFF"/>
    </a:custClr>
    <a:custClr name=" ">
      <a:srgbClr val="FFFFFF"/>
    </a:custClr>
    <a:custClr name="PMS 425 (AT 50%)">
      <a:srgbClr val="AFB0B1"/>
    </a:custClr>
    <a:custClr name="PMS 152 (AT 50%)">
      <a:srgbClr val="FABF90"/>
    </a:custClr>
    <a:custClr name="PMS 292 (AT 50%)">
      <a:srgbClr val="BCDEF4"/>
    </a:custClr>
    <a:custClr name="PMS WARM GRAY 7 (AT 50%)">
      <a:srgbClr val="CBC5C2"/>
    </a:custClr>
    <a:custClr name="PMS 453 (AT 50%)">
      <a:srgbClr val="EDECDE"/>
    </a:custClr>
    <a:custClr name="PMS 294 (AT 50%)">
      <a:srgbClr val="80AACB"/>
    </a:custClr>
    <a:custClr name="CORP DK BROWN (AT 50%)">
      <a:srgbClr val="A78C87"/>
    </a:custClr>
    <a:custClr name="CORP MED BROWN (AT 50%)">
      <a:srgbClr val="BE9D80"/>
    </a:custClr>
    <a:custClr name="CORP LT BROWN (AT 50%)">
      <a:srgbClr val="D5B89F"/>
    </a:custClr>
    <a:custClr name="CORP CRIMSON (AT 50%)">
      <a:srgbClr val="CC9092"/>
    </a:custClr>
    <a:custClr name="CORP RED (AT 50%)">
      <a:srgbClr val="E2A793"/>
    </a:custClr>
    <a:custClr name="CORP YELLOW (AT 50%)">
      <a:srgbClr val="F7E0B1"/>
    </a:custClr>
    <a:custClr name="CORP PURPLE (AT 50%)">
      <a:srgbClr val="AC94AB"/>
    </a:custClr>
    <a:custClr name="CORP LT PURPLE (AT 50%)">
      <a:srgbClr val="C3B3C0"/>
    </a:custClr>
    <a:custClr name="CORP GREEN (AT 50%)">
      <a:srgbClr val="B0BBA9"/>
    </a:custClr>
    <a:custClr name="CORP LT GREEN (AT 50%)">
      <a:srgbClr val="C8D5C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21864A86455B41B371FD6027F3FDD5" ma:contentTypeVersion="15" ma:contentTypeDescription="Create a new document." ma:contentTypeScope="" ma:versionID="45d8abefd6dd006cb9b77ae402d4c5ab">
  <xsd:schema xmlns:xsd="http://www.w3.org/2001/XMLSchema" xmlns:xs="http://www.w3.org/2001/XMLSchema" xmlns:p="http://schemas.microsoft.com/office/2006/metadata/properties" xmlns:ns2="a94dacfc-daff-4e37-b8e1-865c6503696b" xmlns:ns3="2b26f761-324f-4f64-b592-25eadf13cf48" targetNamespace="http://schemas.microsoft.com/office/2006/metadata/properties" ma:root="true" ma:fieldsID="bcbac783e8337988990251df119d47db" ns2:_="" ns3:_="">
    <xsd:import namespace="a94dacfc-daff-4e37-b8e1-865c6503696b"/>
    <xsd:import namespace="2b26f761-324f-4f64-b592-25eadf13cf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dacfc-daff-4e37-b8e1-865c65036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format="Dropdown" ma:internalName="Status">
      <xsd:simpleType>
        <xsd:restriction base="dms:Choice">
          <xsd:enumeration value="Not Yet Started"/>
          <xsd:enumeration value="Sent to Acuity"/>
          <xsd:enumeration value="Completed"/>
          <xsd:enumeration value="Under Review"/>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6f761-324f-4f64-b592-25eadf13cf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a94dacfc-daff-4e37-b8e1-865c650369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DFAEE-EB0F-40BF-8EBF-6B403B7EFF5B}">
  <ds:schemaRefs>
    <ds:schemaRef ds:uri="http://schemas.openxmlformats.org/officeDocument/2006/bibliography"/>
  </ds:schemaRefs>
</ds:datastoreItem>
</file>

<file path=customXml/itemProps2.xml><?xml version="1.0" encoding="utf-8"?>
<ds:datastoreItem xmlns:ds="http://schemas.openxmlformats.org/officeDocument/2006/customXml" ds:itemID="{1466AB5C-B4DD-4E53-8916-EB6A27F3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dacfc-daff-4e37-b8e1-865c6503696b"/>
    <ds:schemaRef ds:uri="2b26f761-324f-4f64-b592-25eadf13c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2D599-4FFC-4427-99CA-4850154693F4}">
  <ds:schemaRefs>
    <ds:schemaRef ds:uri="http://schemas.microsoft.com/office/2006/metadata/properties"/>
    <ds:schemaRef ds:uri="http://schemas.microsoft.com/office/infopath/2007/PartnerControls"/>
    <ds:schemaRef ds:uri="a94dacfc-daff-4e37-b8e1-865c6503696b"/>
  </ds:schemaRefs>
</ds:datastoreItem>
</file>

<file path=customXml/itemProps4.xml><?xml version="1.0" encoding="utf-8"?>
<ds:datastoreItem xmlns:ds="http://schemas.openxmlformats.org/officeDocument/2006/customXml" ds:itemID="{D3AAE2A4-4FAA-4FB5-813D-BE04695B7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1048</Words>
  <Characters>5621</Characters>
  <Application>Microsoft Office Word</Application>
  <DocSecurity>0</DocSecurity>
  <Lines>281</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SGamage@russellinvestments.com</dc:creator>
  <cp:keywords/>
  <dc:description/>
  <cp:lastModifiedBy>Lee, Melissa</cp:lastModifiedBy>
  <cp:revision>4</cp:revision>
  <cp:lastPrinted>2022-05-03T00:46:00Z</cp:lastPrinted>
  <dcterms:created xsi:type="dcterms:W3CDTF">2024-02-15T02:34:00Z</dcterms:created>
  <dcterms:modified xsi:type="dcterms:W3CDTF">2024-02-15T02:39:00Z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0x010100CC21864A86455B41B371FD6027F3FDD5</vt:lpwstr>
  </property>
</Properties>
</file>