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tblGrid>
      <w:tr w:rsidR="00794912" w14:paraId="43AACD3D" w14:textId="77777777" w:rsidTr="00B57CF3">
        <w:trPr>
          <w:trHeight w:hRule="exact" w:val="1805"/>
        </w:trPr>
        <w:tc>
          <w:tcPr>
            <w:tcW w:w="6480" w:type="dxa"/>
          </w:tcPr>
          <w:p w14:paraId="391A5E92" w14:textId="7F9E529D" w:rsidR="00794912" w:rsidRPr="00B000BD" w:rsidRDefault="00C5126B" w:rsidP="00E3667F">
            <w:pPr>
              <w:pStyle w:val="Doctitleblack"/>
            </w:pPr>
            <w:r>
              <w:t>sustainable managed portfolios</w:t>
            </w:r>
          </w:p>
        </w:tc>
      </w:tr>
      <w:tr w:rsidR="00794912" w14:paraId="6209F9FE" w14:textId="77777777" w:rsidTr="00B57CF3">
        <w:trPr>
          <w:trHeight w:hRule="exact" w:val="266"/>
        </w:trPr>
        <w:tc>
          <w:tcPr>
            <w:tcW w:w="6480" w:type="dxa"/>
          </w:tcPr>
          <w:p w14:paraId="0A906F49" w14:textId="29274566" w:rsidR="00794912" w:rsidRDefault="00794912" w:rsidP="00E3667F">
            <w:pPr>
              <w:pStyle w:val="Bodycopy"/>
            </w:pPr>
          </w:p>
        </w:tc>
      </w:tr>
    </w:tbl>
    <w:p w14:paraId="33C86123" w14:textId="6CAB923D" w:rsidR="00794912" w:rsidRDefault="00C5126B" w:rsidP="00613768">
      <w:pPr>
        <w:pStyle w:val="Docsubtitle"/>
      </w:pPr>
      <w:r>
        <w:t>portfolio changes: july 2024</w:t>
      </w:r>
    </w:p>
    <w:tbl>
      <w:tblPr>
        <w:tblStyle w:val="TableGridLight"/>
        <w:tblW w:w="10440" w:type="dxa"/>
        <w:shd w:val="clear" w:color="auto" w:fill="E3F1FA" w:themeFill="background2" w:themeFillTint="33"/>
        <w:tblLayout w:type="fixed"/>
        <w:tblCellMar>
          <w:top w:w="173" w:type="dxa"/>
          <w:left w:w="216" w:type="dxa"/>
          <w:bottom w:w="173" w:type="dxa"/>
          <w:right w:w="173" w:type="dxa"/>
        </w:tblCellMar>
        <w:tblLook w:val="04A0" w:firstRow="1" w:lastRow="0" w:firstColumn="1" w:lastColumn="0" w:noHBand="0" w:noVBand="1"/>
      </w:tblPr>
      <w:tblGrid>
        <w:gridCol w:w="10440"/>
      </w:tblGrid>
      <w:tr w:rsidR="00B27C4F" w14:paraId="62455756" w14:textId="77777777" w:rsidTr="002D714B">
        <w:trPr>
          <w:trHeight w:val="288"/>
        </w:trPr>
        <w:tc>
          <w:tcPr>
            <w:tcW w:w="10440" w:type="dxa"/>
            <w:tcBorders>
              <w:top w:val="nil"/>
              <w:left w:val="nil"/>
              <w:bottom w:val="single" w:sz="36" w:space="0" w:color="000000" w:themeColor="text1"/>
              <w:right w:val="nil"/>
            </w:tcBorders>
            <w:shd w:val="clear" w:color="auto" w:fill="auto"/>
            <w:tcMar>
              <w:top w:w="0" w:type="dxa"/>
              <w:bottom w:w="0" w:type="dxa"/>
            </w:tcMar>
          </w:tcPr>
          <w:p w14:paraId="7D5934A3" w14:textId="77777777" w:rsidR="00B27C4F" w:rsidRDefault="00B27C4F" w:rsidP="002D714B">
            <w:pPr>
              <w:pStyle w:val="Bodycopy"/>
            </w:pPr>
          </w:p>
        </w:tc>
      </w:tr>
      <w:tr w:rsidR="00B27C4F" w14:paraId="08F2E5FE" w14:textId="77777777" w:rsidTr="002D714B">
        <w:trPr>
          <w:trHeight w:val="288"/>
        </w:trPr>
        <w:tc>
          <w:tcPr>
            <w:tcW w:w="10440" w:type="dxa"/>
            <w:tcBorders>
              <w:top w:val="single" w:sz="36" w:space="0" w:color="000000" w:themeColor="text1"/>
              <w:left w:val="nil"/>
              <w:bottom w:val="nil"/>
              <w:right w:val="nil"/>
            </w:tcBorders>
            <w:shd w:val="clear" w:color="auto" w:fill="E3F1FA" w:themeFill="background2" w:themeFillTint="33"/>
            <w:tcMar>
              <w:top w:w="216" w:type="dxa"/>
            </w:tcMar>
          </w:tcPr>
          <w:p w14:paraId="7C7DA6FA" w14:textId="77777777" w:rsidR="00C5126B" w:rsidRDefault="00C5126B" w:rsidP="002D714B">
            <w:pPr>
              <w:pStyle w:val="Tintedtablecopy"/>
            </w:pPr>
            <w:r>
              <w:t>Dear client,</w:t>
            </w:r>
          </w:p>
          <w:p w14:paraId="45CE396F" w14:textId="26823D31" w:rsidR="00C5126B" w:rsidRDefault="00C5126B" w:rsidP="00C5126B">
            <w:pPr>
              <w:pStyle w:val="Tintedtablecopy"/>
            </w:pPr>
            <w:r>
              <w:t xml:space="preserve">In this note, we provide a short update on recent trade activity and changes to the </w:t>
            </w:r>
            <w:r w:rsidRPr="00C5126B">
              <w:rPr>
                <w:b/>
                <w:bCs/>
              </w:rPr>
              <w:t>Russell Investments Sustainable Managed Portfolio – Conservative</w:t>
            </w:r>
            <w:r>
              <w:t xml:space="preserve">, </w:t>
            </w:r>
            <w:r w:rsidRPr="00C5126B">
              <w:rPr>
                <w:b/>
                <w:bCs/>
              </w:rPr>
              <w:t>Diversified 50</w:t>
            </w:r>
            <w:r>
              <w:t xml:space="preserve">, </w:t>
            </w:r>
            <w:r w:rsidRPr="00C5126B">
              <w:rPr>
                <w:b/>
                <w:bCs/>
              </w:rPr>
              <w:t>Balanced</w:t>
            </w:r>
            <w:r>
              <w:t xml:space="preserve">, </w:t>
            </w:r>
            <w:r w:rsidRPr="00C5126B">
              <w:rPr>
                <w:b/>
                <w:bCs/>
              </w:rPr>
              <w:t>Growth</w:t>
            </w:r>
            <w:r>
              <w:t xml:space="preserve"> and </w:t>
            </w:r>
            <w:r w:rsidRPr="00C5126B">
              <w:rPr>
                <w:b/>
                <w:bCs/>
              </w:rPr>
              <w:t>High Growth</w:t>
            </w:r>
            <w:r>
              <w:t xml:space="preserve"> (Portfolios). Here’s a summary of key changes:</w:t>
            </w:r>
          </w:p>
          <w:p w14:paraId="6B9B4524" w14:textId="77777777" w:rsidR="00C5126B" w:rsidRDefault="00C5126B" w:rsidP="00C5126B">
            <w:pPr>
              <w:pStyle w:val="Tintedtablecopy"/>
              <w:numPr>
                <w:ilvl w:val="0"/>
                <w:numId w:val="39"/>
              </w:numPr>
            </w:pPr>
            <w:r>
              <w:t>Reduced portfolio allocations to Australian real estate investment trusts and cash; increased exposures to global real estate investment trusts and global and Australian fixed income.</w:t>
            </w:r>
          </w:p>
          <w:p w14:paraId="19345D7B" w14:textId="45B29913" w:rsidR="00B27C4F" w:rsidRDefault="00C5126B" w:rsidP="00C5126B">
            <w:pPr>
              <w:pStyle w:val="Tintedtablecopy"/>
              <w:numPr>
                <w:ilvl w:val="0"/>
                <w:numId w:val="39"/>
              </w:numPr>
            </w:pPr>
            <w:r>
              <w:t>Rebalanced the direct Australian equity ESG portfolio.</w:t>
            </w:r>
          </w:p>
        </w:tc>
      </w:tr>
      <w:tr w:rsidR="00B27C4F" w14:paraId="3BC8EA9C" w14:textId="77777777" w:rsidTr="002D714B">
        <w:trPr>
          <w:trHeight w:val="288"/>
        </w:trPr>
        <w:tc>
          <w:tcPr>
            <w:tcW w:w="10440" w:type="dxa"/>
            <w:tcBorders>
              <w:top w:val="nil"/>
              <w:left w:val="nil"/>
              <w:bottom w:val="nil"/>
              <w:right w:val="nil"/>
            </w:tcBorders>
            <w:shd w:val="clear" w:color="auto" w:fill="auto"/>
            <w:tcMar>
              <w:top w:w="0" w:type="dxa"/>
              <w:bottom w:w="0" w:type="dxa"/>
            </w:tcMar>
          </w:tcPr>
          <w:p w14:paraId="696DFE7D" w14:textId="77777777" w:rsidR="00B27C4F" w:rsidRDefault="00B27C4F" w:rsidP="00253F14">
            <w:pPr>
              <w:pStyle w:val="Bodycopy"/>
            </w:pPr>
          </w:p>
        </w:tc>
      </w:tr>
    </w:tbl>
    <w:p w14:paraId="25DD3D69" w14:textId="54F5E169" w:rsidR="00794912" w:rsidRDefault="00C5126B" w:rsidP="00794912">
      <w:pPr>
        <w:pStyle w:val="Heading1"/>
      </w:pPr>
      <w:r>
        <w:t>Rationale for portfolio changes</w:t>
      </w:r>
    </w:p>
    <w:p w14:paraId="463FBD6B" w14:textId="29E13168" w:rsidR="00794912" w:rsidRDefault="00C5126B" w:rsidP="00794912">
      <w:pPr>
        <w:pStyle w:val="Heading2"/>
      </w:pPr>
      <w:r>
        <w:t>All Portfolios</w:t>
      </w:r>
    </w:p>
    <w:p w14:paraId="6AB22E60" w14:textId="29A40C2A" w:rsidR="00C5126B" w:rsidRPr="00C5126B" w:rsidRDefault="00C5126B" w:rsidP="00C5126B">
      <w:pPr>
        <w:pStyle w:val="Heading2"/>
        <w:rPr>
          <w:rFonts w:asciiTheme="minorHAnsi" w:eastAsia="Calibri" w:hAnsiTheme="minorHAnsi" w:cs="Times New Roman"/>
          <w:b w:val="0"/>
          <w:sz w:val="18"/>
          <w:szCs w:val="18"/>
        </w:rPr>
      </w:pPr>
      <w:r w:rsidRPr="00C5126B">
        <w:rPr>
          <w:rFonts w:asciiTheme="minorHAnsi" w:eastAsia="Calibri" w:hAnsiTheme="minorHAnsi" w:cs="Times New Roman"/>
          <w:b w:val="0"/>
          <w:sz w:val="18"/>
          <w:szCs w:val="18"/>
        </w:rPr>
        <w:t>We reduced the Portfolios’ allocation to Australian real estate investment trusts (A-REITs) in favour of global real estate investment trusts (G-REITs). Our passive exposure to A-REITs has performed strongly year-to-date, significantly outperforming both G-REITs and the broader Australian equity market</w:t>
      </w:r>
      <w:r>
        <w:rPr>
          <w:rStyle w:val="FootnoteReference"/>
          <w:rFonts w:asciiTheme="minorHAnsi" w:eastAsia="Calibri" w:hAnsiTheme="minorHAnsi" w:cs="Times New Roman"/>
          <w:b w:val="0"/>
          <w:sz w:val="18"/>
          <w:szCs w:val="18"/>
        </w:rPr>
        <w:footnoteReference w:id="2"/>
      </w:r>
      <w:r w:rsidRPr="00C5126B">
        <w:rPr>
          <w:rFonts w:asciiTheme="minorHAnsi" w:eastAsia="Calibri" w:hAnsiTheme="minorHAnsi" w:cs="Times New Roman"/>
          <w:b w:val="0"/>
          <w:sz w:val="18"/>
          <w:szCs w:val="18"/>
        </w:rPr>
        <w:t>. Much of this outperformance has been driven by industrial property giant Goodman Group; the local market’s largest constituent. Goodman Group has continued to benefit from its move into data centres and the artificial intelligence thematic.</w:t>
      </w:r>
    </w:p>
    <w:p w14:paraId="50AA10C2" w14:textId="77777777" w:rsidR="00C5126B" w:rsidRPr="00C5126B" w:rsidRDefault="00C5126B" w:rsidP="00C5126B">
      <w:pPr>
        <w:pStyle w:val="Heading2"/>
        <w:rPr>
          <w:rFonts w:asciiTheme="minorHAnsi" w:eastAsia="Calibri" w:hAnsiTheme="minorHAnsi" w:cs="Times New Roman"/>
          <w:b w:val="0"/>
          <w:sz w:val="18"/>
          <w:szCs w:val="18"/>
        </w:rPr>
      </w:pPr>
      <w:r w:rsidRPr="00C5126B">
        <w:rPr>
          <w:rFonts w:asciiTheme="minorHAnsi" w:eastAsia="Calibri" w:hAnsiTheme="minorHAnsi" w:cs="Times New Roman"/>
          <w:b w:val="0"/>
          <w:sz w:val="18"/>
          <w:szCs w:val="18"/>
        </w:rPr>
        <w:t>G-REITs have not only underperformed A-REITs but also the broader global equity market. As a result, we believe G-REITs offer better value. G-REITs also provide greater diversification benefits, with the global listed property market comprising more than 300 constituents compared to just 33 in Australia. In addition, easing US inflationary pressures suggest the Federal Reserve (Fed) will likely begin cutting interest rates soon, while interest rates in Australia look set to remain higher for longer against a backdrop of stubbornly high inflation. We believe this could provide a cyclical advantage for G-REITs over their Australian counterparts.</w:t>
      </w:r>
    </w:p>
    <w:p w14:paraId="2751D44B" w14:textId="77777777" w:rsidR="00C5126B" w:rsidRDefault="00C5126B" w:rsidP="00C5126B">
      <w:pPr>
        <w:pStyle w:val="Heading2"/>
        <w:rPr>
          <w:rFonts w:asciiTheme="minorHAnsi" w:eastAsia="Calibri" w:hAnsiTheme="minorHAnsi" w:cs="Times New Roman"/>
          <w:b w:val="0"/>
          <w:sz w:val="18"/>
          <w:szCs w:val="18"/>
        </w:rPr>
      </w:pPr>
      <w:r w:rsidRPr="00C5126B">
        <w:rPr>
          <w:rFonts w:asciiTheme="minorHAnsi" w:eastAsia="Calibri" w:hAnsiTheme="minorHAnsi" w:cs="Times New Roman"/>
          <w:b w:val="0"/>
          <w:sz w:val="18"/>
          <w:szCs w:val="18"/>
        </w:rPr>
        <w:t>We reduced exposure to A-REITs by selling the Vanguard Australian Property Securities Index ETF. We increased exposure to G-REITs by buying the Russell Investments International Property Securities Fund – $A Hedged (Class A).</w:t>
      </w:r>
    </w:p>
    <w:p w14:paraId="0E9D2C2B" w14:textId="77777777" w:rsidR="00C5126B" w:rsidRDefault="00C5126B" w:rsidP="00C5126B">
      <w:pPr>
        <w:pStyle w:val="Heading2"/>
      </w:pPr>
      <w:r>
        <w:t xml:space="preserve">Russell Investments Sustainable Managed Portfolio – Conservative, </w:t>
      </w:r>
      <w:proofErr w:type="gramStart"/>
      <w:r>
        <w:t>Diversified</w:t>
      </w:r>
      <w:proofErr w:type="gramEnd"/>
      <w:r>
        <w:t xml:space="preserve"> 50, Balanced and Growth only</w:t>
      </w:r>
    </w:p>
    <w:p w14:paraId="3EB418C8" w14:textId="77777777" w:rsidR="00C5126B" w:rsidRDefault="00C5126B" w:rsidP="00C5126B">
      <w:pPr>
        <w:pStyle w:val="Bodycopy"/>
      </w:pPr>
      <w:r>
        <w:t>We increased the Portfolios’ allocations to global and Australian fixed income, which we expect to outperform cash as government bond yields fall in response to central bank interest rate cuts. Already the European Central Bank, the Swiss National Bank and the Bank of England have begun lowering their benchmark policy rates, while the Fed is widely expected to follow suit in the coming months.</w:t>
      </w:r>
    </w:p>
    <w:p w14:paraId="1E277C1D" w14:textId="77777777" w:rsidR="00C5126B" w:rsidRDefault="00C5126B" w:rsidP="00C5126B">
      <w:pPr>
        <w:pStyle w:val="Bodycopy"/>
      </w:pPr>
      <w:r>
        <w:lastRenderedPageBreak/>
        <w:t>We increased exposure to global and Australian fixed income by buying the Vanguard Ethically Conscious Global Aggregate Bond Index (Hedged) ETF and the Pendal Sustainable Australian Fixed Interest Fund. These increases were funded mainly by the Portfolios’ cash-related holdings.</w:t>
      </w:r>
    </w:p>
    <w:p w14:paraId="6BD114A3" w14:textId="77777777" w:rsidR="00C5126B" w:rsidRDefault="00C5126B" w:rsidP="00C5126B">
      <w:pPr>
        <w:pStyle w:val="Heading2"/>
      </w:pPr>
      <w:r>
        <w:t>Russell Investments Sustainable Managed Portfolio – Conservative, Diversified 50, Growth and High Growth only</w:t>
      </w:r>
    </w:p>
    <w:p w14:paraId="4F11A295" w14:textId="77777777" w:rsidR="00C5126B" w:rsidRDefault="00C5126B" w:rsidP="00C5126B">
      <w:pPr>
        <w:pStyle w:val="Bodycopy"/>
      </w:pPr>
      <w:r>
        <w:t xml:space="preserve">More broadly, we rebalanced the Portfolios’ global and Australian equity exposures nearer to their strategic benchmark allocations. We had been overweight Australian equities in </w:t>
      </w:r>
      <w:proofErr w:type="gramStart"/>
      <w:r>
        <w:t>particular;</w:t>
      </w:r>
      <w:proofErr w:type="gramEnd"/>
      <w:r>
        <w:t xml:space="preserve"> which have continued to perform well this year. Not only did this allow us to lock in some profits but it also provided an opportunity to reduce the overall level of risk within the Portfolios. We achieved this via the rebalancing of the direct Australian equity portfolio.</w:t>
      </w:r>
    </w:p>
    <w:p w14:paraId="72970139" w14:textId="77777777" w:rsidR="00C5126B" w:rsidRDefault="00C5126B" w:rsidP="00C5126B">
      <w:pPr>
        <w:pStyle w:val="Heading2"/>
      </w:pPr>
      <w:r>
        <w:t>Direct Australian equity ESG portfolio</w:t>
      </w:r>
    </w:p>
    <w:p w14:paraId="2616D268" w14:textId="77777777" w:rsidR="00C5126B" w:rsidRDefault="00C5126B" w:rsidP="00C5126B">
      <w:pPr>
        <w:pStyle w:val="Bodycopy"/>
      </w:pPr>
      <w:r>
        <w:t>The direct Australian equity ESG portfolio is rebalanced semi-annually. The purpose of rebalancing is to ensure the portfolio’s holdings are in line with the underlying investment strategy. We do this by buying and/or selling shares.</w:t>
      </w:r>
    </w:p>
    <w:p w14:paraId="5492AC6F" w14:textId="77777777" w:rsidR="00C5126B" w:rsidRDefault="00C5126B" w:rsidP="00C5126B">
      <w:pPr>
        <w:pStyle w:val="Bodycopy"/>
      </w:pPr>
      <w:r>
        <w:t>As part of this latest rebalancing, we bought into the healthcare, financials and industrials sectors, and sold out of real estate, information technology and materials. In terms of factor exposure, the portfolio is positioned with overweights to growth, momentum, low volatility and value. The portfolio is also overweight quality, though we did trim the overall exposure to this factor.</w:t>
      </w:r>
    </w:p>
    <w:p w14:paraId="4FA2F53B" w14:textId="77777777" w:rsidR="00BB6B51" w:rsidRDefault="00C5126B" w:rsidP="00BB6B51">
      <w:pPr>
        <w:pStyle w:val="Bodycopy"/>
      </w:pPr>
      <w:r>
        <w:t>Following the rebalancing, the portfolio achieved a 31% carbon reduction versus the benchmark S&amp;P/ASX 100 Index and a 5.0% improvement in its Material ESG Score.</w:t>
      </w:r>
    </w:p>
    <w:p w14:paraId="136FB84E" w14:textId="17D48946" w:rsidR="00C5126B" w:rsidRDefault="00C5126B" w:rsidP="00BB6B51">
      <w:pPr>
        <w:pStyle w:val="Heading2"/>
      </w:pPr>
      <w:r>
        <w:t>Portfolio rebalancing trades</w:t>
      </w:r>
    </w:p>
    <w:tbl>
      <w:tblPr>
        <w:tblStyle w:val="RPtable1"/>
        <w:tblW w:w="5000" w:type="pct"/>
        <w:tblLook w:val="06A0" w:firstRow="1" w:lastRow="0" w:firstColumn="1" w:lastColumn="0" w:noHBand="1" w:noVBand="1"/>
      </w:tblPr>
      <w:tblGrid>
        <w:gridCol w:w="3440"/>
        <w:gridCol w:w="3440"/>
        <w:gridCol w:w="3438"/>
      </w:tblGrid>
      <w:tr w:rsidR="00BB6B51" w14:paraId="4BC46F0E" w14:textId="77777777" w:rsidTr="007A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32DC004" w14:textId="77777777" w:rsidR="00BB6B51" w:rsidRDefault="00BB6B51" w:rsidP="007A563B">
            <w:pPr>
              <w:pStyle w:val="Tablecopy"/>
            </w:pPr>
          </w:p>
        </w:tc>
        <w:tc>
          <w:tcPr>
            <w:tcW w:w="1667" w:type="pct"/>
          </w:tcPr>
          <w:p w14:paraId="3D2C54CA" w14:textId="77777777" w:rsidR="00BB6B51" w:rsidRDefault="00BB6B51" w:rsidP="007A563B">
            <w:pPr>
              <w:pStyle w:val="Tablecopy"/>
              <w:cnfStyle w:val="100000000000" w:firstRow="1" w:lastRow="0" w:firstColumn="0" w:lastColumn="0" w:oddVBand="0" w:evenVBand="0" w:oddHBand="0" w:evenHBand="0" w:firstRowFirstColumn="0" w:firstRowLastColumn="0" w:lastRowFirstColumn="0" w:lastRowLastColumn="0"/>
            </w:pPr>
            <w:r>
              <w:t>company</w:t>
            </w:r>
          </w:p>
        </w:tc>
        <w:tc>
          <w:tcPr>
            <w:tcW w:w="1666" w:type="pct"/>
          </w:tcPr>
          <w:p w14:paraId="68BD932F" w14:textId="77777777" w:rsidR="00BB6B51" w:rsidRDefault="00BB6B51" w:rsidP="007A563B">
            <w:pPr>
              <w:pStyle w:val="Tablecopy"/>
              <w:cnfStyle w:val="100000000000" w:firstRow="1" w:lastRow="0" w:firstColumn="0" w:lastColumn="0" w:oddVBand="0" w:evenVBand="0" w:oddHBand="0" w:evenHBand="0" w:firstRowFirstColumn="0" w:firstRowLastColumn="0" w:lastRowFirstColumn="0" w:lastRowLastColumn="0"/>
            </w:pPr>
            <w:r>
              <w:t>weight</w:t>
            </w:r>
          </w:p>
        </w:tc>
      </w:tr>
      <w:tr w:rsidR="00BB6B51" w14:paraId="2833D710" w14:textId="77777777" w:rsidTr="007A563B">
        <w:tc>
          <w:tcPr>
            <w:cnfStyle w:val="001000000000" w:firstRow="0" w:lastRow="0" w:firstColumn="1" w:lastColumn="0" w:oddVBand="0" w:evenVBand="0" w:oddHBand="0" w:evenHBand="0" w:firstRowFirstColumn="0" w:firstRowLastColumn="0" w:lastRowFirstColumn="0" w:lastRowLastColumn="0"/>
            <w:tcW w:w="1667" w:type="pct"/>
          </w:tcPr>
          <w:p w14:paraId="49E54507" w14:textId="77777777" w:rsidR="00BB6B51" w:rsidRPr="00C5126B" w:rsidRDefault="00BB6B51" w:rsidP="007A563B">
            <w:pPr>
              <w:pStyle w:val="Tablecopy"/>
              <w:rPr>
                <w:b w:val="0"/>
                <w:bCs/>
              </w:rPr>
            </w:pPr>
            <w:r w:rsidRPr="00C5126B">
              <w:rPr>
                <w:b w:val="0"/>
                <w:bCs/>
              </w:rPr>
              <w:t>Shares purchased (new)</w:t>
            </w:r>
          </w:p>
        </w:tc>
        <w:tc>
          <w:tcPr>
            <w:tcW w:w="1667" w:type="pct"/>
          </w:tcPr>
          <w:p w14:paraId="7B95E851"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Ramsay Health Care</w:t>
            </w:r>
          </w:p>
          <w:p w14:paraId="40FE7645"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Cochlear</w:t>
            </w:r>
          </w:p>
          <w:p w14:paraId="7D0BFEDE"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Atlas Arteria</w:t>
            </w:r>
          </w:p>
          <w:p w14:paraId="503D87A1"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Suncorp Group</w:t>
            </w:r>
          </w:p>
          <w:p w14:paraId="6389046D"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Xero</w:t>
            </w:r>
          </w:p>
        </w:tc>
        <w:tc>
          <w:tcPr>
            <w:tcW w:w="1666" w:type="pct"/>
          </w:tcPr>
          <w:p w14:paraId="1A7BBABE"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+2.3%</w:t>
            </w:r>
          </w:p>
          <w:p w14:paraId="17B7C924"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+2.2%</w:t>
            </w:r>
          </w:p>
          <w:p w14:paraId="00AC33D0"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+2.1%</w:t>
            </w:r>
          </w:p>
          <w:p w14:paraId="694C5BD9"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+1.8%</w:t>
            </w:r>
          </w:p>
          <w:p w14:paraId="316C70E5"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+1.6%</w:t>
            </w:r>
          </w:p>
        </w:tc>
      </w:tr>
      <w:tr w:rsidR="00BB6B51" w14:paraId="1D00C1CE" w14:textId="77777777" w:rsidTr="007A563B">
        <w:tc>
          <w:tcPr>
            <w:cnfStyle w:val="001000000000" w:firstRow="0" w:lastRow="0" w:firstColumn="1" w:lastColumn="0" w:oddVBand="0" w:evenVBand="0" w:oddHBand="0" w:evenHBand="0" w:firstRowFirstColumn="0" w:firstRowLastColumn="0" w:lastRowFirstColumn="0" w:lastRowLastColumn="0"/>
            <w:tcW w:w="1667" w:type="pct"/>
          </w:tcPr>
          <w:p w14:paraId="67CE3A6E" w14:textId="77777777" w:rsidR="00BB6B51" w:rsidRPr="00C5126B" w:rsidRDefault="00BB6B51" w:rsidP="007A563B">
            <w:pPr>
              <w:pStyle w:val="Tablecopy"/>
              <w:rPr>
                <w:b w:val="0"/>
                <w:bCs/>
              </w:rPr>
            </w:pPr>
            <w:r w:rsidRPr="00C5126B">
              <w:rPr>
                <w:b w:val="0"/>
                <w:bCs/>
              </w:rPr>
              <w:t>Shares sold (exited)</w:t>
            </w:r>
          </w:p>
        </w:tc>
        <w:tc>
          <w:tcPr>
            <w:tcW w:w="1667" w:type="pct"/>
          </w:tcPr>
          <w:p w14:paraId="6DA481F3"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Sonic Healthcare</w:t>
            </w:r>
          </w:p>
          <w:p w14:paraId="5B1A2802"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TechnologyOne</w:t>
            </w:r>
          </w:p>
          <w:p w14:paraId="157DC1C0"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Stockland</w:t>
            </w:r>
          </w:p>
          <w:p w14:paraId="147EA13E"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Evolution Mining</w:t>
            </w:r>
          </w:p>
          <w:p w14:paraId="58FC8DBB"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Lynas Rare Earths</w:t>
            </w:r>
          </w:p>
        </w:tc>
        <w:tc>
          <w:tcPr>
            <w:tcW w:w="1666" w:type="pct"/>
          </w:tcPr>
          <w:p w14:paraId="6BD62057"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-2.4%</w:t>
            </w:r>
          </w:p>
          <w:p w14:paraId="10A3888B"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-2.4%</w:t>
            </w:r>
          </w:p>
          <w:p w14:paraId="6CB9F55D"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-1.4%</w:t>
            </w:r>
          </w:p>
          <w:p w14:paraId="3506EBD2"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-1.4%</w:t>
            </w:r>
          </w:p>
          <w:p w14:paraId="659194A7" w14:textId="77777777" w:rsidR="00BB6B51" w:rsidRDefault="00BB6B51" w:rsidP="007A563B">
            <w:pPr>
              <w:pStyle w:val="Tablecopy"/>
              <w:cnfStyle w:val="000000000000" w:firstRow="0" w:lastRow="0" w:firstColumn="0" w:lastColumn="0" w:oddVBand="0" w:evenVBand="0" w:oddHBand="0" w:evenHBand="0" w:firstRowFirstColumn="0" w:firstRowLastColumn="0" w:lastRowFirstColumn="0" w:lastRowLastColumn="0"/>
            </w:pPr>
            <w:r>
              <w:t>-1.3%</w:t>
            </w:r>
          </w:p>
        </w:tc>
      </w:tr>
    </w:tbl>
    <w:p w14:paraId="6B988C96" w14:textId="77777777" w:rsidR="00BB6B51" w:rsidRDefault="00BB6B51" w:rsidP="00BB6B51">
      <w:pPr>
        <w:pStyle w:val="Heading1"/>
      </w:pPr>
      <w:r>
        <w:t>Changes in asset allocation (%)</w:t>
      </w:r>
    </w:p>
    <w:tbl>
      <w:tblPr>
        <w:tblStyle w:val="RPtable1"/>
        <w:tblW w:w="5000" w:type="pct"/>
        <w:tblLook w:val="06A0" w:firstRow="1" w:lastRow="0" w:firstColumn="1" w:lastColumn="0" w:noHBand="1" w:noVBand="1"/>
      </w:tblPr>
      <w:tblGrid>
        <w:gridCol w:w="1721"/>
        <w:gridCol w:w="1721"/>
        <w:gridCol w:w="1719"/>
        <w:gridCol w:w="1719"/>
        <w:gridCol w:w="1719"/>
        <w:gridCol w:w="1719"/>
      </w:tblGrid>
      <w:tr w:rsidR="00BB6B51" w14:paraId="048A0471" w14:textId="77777777" w:rsidTr="007A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vMerge w:val="restart"/>
          </w:tcPr>
          <w:p w14:paraId="565653FF" w14:textId="77777777" w:rsidR="00BB6B51" w:rsidRDefault="00BB6B51" w:rsidP="007A563B">
            <w:pPr>
              <w:pStyle w:val="Tablecopy"/>
            </w:pPr>
            <w:r>
              <w:t>ASSET CLASS</w:t>
            </w:r>
          </w:p>
        </w:tc>
        <w:tc>
          <w:tcPr>
            <w:tcW w:w="4166" w:type="pct"/>
            <w:gridSpan w:val="5"/>
          </w:tcPr>
          <w:p w14:paraId="48E14111" w14:textId="77777777" w:rsidR="00BB6B51" w:rsidRDefault="00BB6B51" w:rsidP="007A563B">
            <w:pPr>
              <w:pStyle w:val="Tablecopy"/>
              <w:jc w:val="center"/>
              <w:cnfStyle w:val="100000000000" w:firstRow="1" w:lastRow="0" w:firstColumn="0" w:lastColumn="0" w:oddVBand="0" w:evenVBand="0" w:oddHBand="0" w:evenHBand="0" w:firstRowFirstColumn="0" w:firstRowLastColumn="0" w:lastRowFirstColumn="0" w:lastRowLastColumn="0"/>
              <w:rPr>
                <w:b w:val="0"/>
                <w:caps w:val="0"/>
              </w:rPr>
            </w:pPr>
            <w:r>
              <w:t>RISK PROFILE</w:t>
            </w:r>
          </w:p>
        </w:tc>
      </w:tr>
      <w:tr w:rsidR="00BB6B51" w14:paraId="085A7E47" w14:textId="77777777" w:rsidTr="007A563B">
        <w:tc>
          <w:tcPr>
            <w:cnfStyle w:val="001000000000" w:firstRow="0" w:lastRow="0" w:firstColumn="1" w:lastColumn="0" w:oddVBand="0" w:evenVBand="0" w:oddHBand="0" w:evenHBand="0" w:firstRowFirstColumn="0" w:firstRowLastColumn="0" w:lastRowFirstColumn="0" w:lastRowLastColumn="0"/>
            <w:tcW w:w="834" w:type="pct"/>
            <w:vMerge/>
            <w:tcBorders>
              <w:bottom w:val="single" w:sz="36" w:space="0" w:color="auto"/>
            </w:tcBorders>
          </w:tcPr>
          <w:p w14:paraId="3DD91FAB" w14:textId="77777777" w:rsidR="00BB6B51" w:rsidRDefault="00BB6B51" w:rsidP="007A563B">
            <w:pPr>
              <w:pStyle w:val="Tablecopy"/>
            </w:pPr>
          </w:p>
        </w:tc>
        <w:tc>
          <w:tcPr>
            <w:tcW w:w="834" w:type="pct"/>
            <w:tcBorders>
              <w:bottom w:val="single" w:sz="36" w:space="0" w:color="auto"/>
            </w:tcBorders>
            <w:shd w:val="clear" w:color="auto" w:fill="DEDFDF" w:themeFill="text2" w:themeFillTint="33"/>
          </w:tcPr>
          <w:p w14:paraId="4DA0BAF0" w14:textId="77777777" w:rsidR="00BB6B51" w:rsidRPr="00D173C2"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
                <w:bCs/>
              </w:rPr>
            </w:pPr>
            <w:r w:rsidRPr="00D173C2">
              <w:rPr>
                <w:b/>
                <w:bCs/>
              </w:rPr>
              <w:t>CONSERVATIVE</w:t>
            </w:r>
          </w:p>
        </w:tc>
        <w:tc>
          <w:tcPr>
            <w:tcW w:w="833" w:type="pct"/>
            <w:tcBorders>
              <w:bottom w:val="single" w:sz="36" w:space="0" w:color="auto"/>
            </w:tcBorders>
            <w:shd w:val="clear" w:color="auto" w:fill="DEDFDF" w:themeFill="text2" w:themeFillTint="33"/>
          </w:tcPr>
          <w:p w14:paraId="2A305E88" w14:textId="77777777" w:rsidR="00BB6B51" w:rsidRPr="00D173C2"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DIV 50</w:t>
            </w:r>
          </w:p>
        </w:tc>
        <w:tc>
          <w:tcPr>
            <w:tcW w:w="833" w:type="pct"/>
            <w:tcBorders>
              <w:bottom w:val="single" w:sz="36" w:space="0" w:color="auto"/>
            </w:tcBorders>
            <w:shd w:val="clear" w:color="auto" w:fill="DEDFDF" w:themeFill="text2" w:themeFillTint="33"/>
          </w:tcPr>
          <w:p w14:paraId="1CA75CFA" w14:textId="77777777" w:rsidR="00BB6B51" w:rsidRPr="00D173C2"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BALANCED</w:t>
            </w:r>
          </w:p>
        </w:tc>
        <w:tc>
          <w:tcPr>
            <w:tcW w:w="833" w:type="pct"/>
            <w:tcBorders>
              <w:bottom w:val="single" w:sz="36" w:space="0" w:color="auto"/>
            </w:tcBorders>
            <w:shd w:val="clear" w:color="auto" w:fill="DEDFDF" w:themeFill="text2" w:themeFillTint="33"/>
          </w:tcPr>
          <w:p w14:paraId="5BA6A6EE" w14:textId="77777777" w:rsidR="00BB6B51" w:rsidRPr="00D173C2"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GROWTH</w:t>
            </w:r>
          </w:p>
        </w:tc>
        <w:tc>
          <w:tcPr>
            <w:tcW w:w="833" w:type="pct"/>
            <w:tcBorders>
              <w:bottom w:val="single" w:sz="36" w:space="0" w:color="auto"/>
            </w:tcBorders>
            <w:shd w:val="clear" w:color="auto" w:fill="DEDFDF" w:themeFill="text2" w:themeFillTint="33"/>
          </w:tcPr>
          <w:p w14:paraId="235ED693" w14:textId="77777777" w:rsidR="00BB6B51" w:rsidRPr="00D173C2"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HIGH GROWTH</w:t>
            </w:r>
          </w:p>
        </w:tc>
      </w:tr>
      <w:tr w:rsidR="00BB6B51" w14:paraId="0A922954" w14:textId="77777777" w:rsidTr="007A563B">
        <w:tc>
          <w:tcPr>
            <w:cnfStyle w:val="001000000000" w:firstRow="0" w:lastRow="0" w:firstColumn="1" w:lastColumn="0" w:oddVBand="0" w:evenVBand="0" w:oddHBand="0" w:evenHBand="0" w:firstRowFirstColumn="0" w:firstRowLastColumn="0" w:lastRowFirstColumn="0" w:lastRowLastColumn="0"/>
            <w:tcW w:w="834" w:type="pct"/>
            <w:tcBorders>
              <w:top w:val="single" w:sz="36" w:space="0" w:color="auto"/>
            </w:tcBorders>
          </w:tcPr>
          <w:p w14:paraId="12AB181A" w14:textId="77777777" w:rsidR="00BB6B51" w:rsidRPr="00827E28" w:rsidRDefault="00BB6B51" w:rsidP="007A563B">
            <w:pPr>
              <w:pStyle w:val="Tablecopy"/>
              <w:rPr>
                <w:b w:val="0"/>
                <w:bCs/>
              </w:rPr>
            </w:pPr>
            <w:r w:rsidRPr="00827E28">
              <w:rPr>
                <w:b w:val="0"/>
                <w:bCs/>
              </w:rPr>
              <w:t>A-REITs</w:t>
            </w:r>
          </w:p>
        </w:tc>
        <w:tc>
          <w:tcPr>
            <w:tcW w:w="834" w:type="pct"/>
            <w:tcBorders>
              <w:top w:val="single" w:sz="36" w:space="0" w:color="auto"/>
            </w:tcBorders>
          </w:tcPr>
          <w:p w14:paraId="48C85AA9"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086F3D">
              <w:t>-0.4</w:t>
            </w:r>
          </w:p>
        </w:tc>
        <w:tc>
          <w:tcPr>
            <w:tcW w:w="833" w:type="pct"/>
            <w:tcBorders>
              <w:top w:val="single" w:sz="36" w:space="0" w:color="auto"/>
            </w:tcBorders>
          </w:tcPr>
          <w:p w14:paraId="494AEE98"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47EF3">
              <w:t>-1.3</w:t>
            </w:r>
          </w:p>
        </w:tc>
        <w:tc>
          <w:tcPr>
            <w:tcW w:w="833" w:type="pct"/>
            <w:tcBorders>
              <w:top w:val="single" w:sz="36" w:space="0" w:color="auto"/>
            </w:tcBorders>
          </w:tcPr>
          <w:p w14:paraId="5AB017F5"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F07870">
              <w:t>-1.3</w:t>
            </w:r>
          </w:p>
        </w:tc>
        <w:tc>
          <w:tcPr>
            <w:tcW w:w="833" w:type="pct"/>
            <w:tcBorders>
              <w:top w:val="single" w:sz="36" w:space="0" w:color="auto"/>
            </w:tcBorders>
          </w:tcPr>
          <w:p w14:paraId="3093EA92"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03597">
              <w:t>-1.0</w:t>
            </w:r>
          </w:p>
        </w:tc>
        <w:tc>
          <w:tcPr>
            <w:tcW w:w="833" w:type="pct"/>
            <w:tcBorders>
              <w:top w:val="single" w:sz="36" w:space="0" w:color="auto"/>
            </w:tcBorders>
          </w:tcPr>
          <w:p w14:paraId="359AB157"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86FE7">
              <w:t>-1.0</w:t>
            </w:r>
          </w:p>
        </w:tc>
      </w:tr>
      <w:tr w:rsidR="00BB6B51" w14:paraId="3381257F" w14:textId="77777777" w:rsidTr="007A563B">
        <w:tc>
          <w:tcPr>
            <w:cnfStyle w:val="001000000000" w:firstRow="0" w:lastRow="0" w:firstColumn="1" w:lastColumn="0" w:oddVBand="0" w:evenVBand="0" w:oddHBand="0" w:evenHBand="0" w:firstRowFirstColumn="0" w:firstRowLastColumn="0" w:lastRowFirstColumn="0" w:lastRowLastColumn="0"/>
            <w:tcW w:w="834" w:type="pct"/>
          </w:tcPr>
          <w:p w14:paraId="24484360" w14:textId="77777777" w:rsidR="00BB6B51" w:rsidRPr="00827E28" w:rsidRDefault="00BB6B51" w:rsidP="007A563B">
            <w:pPr>
              <w:pStyle w:val="Tablecopy"/>
              <w:rPr>
                <w:b w:val="0"/>
                <w:bCs/>
              </w:rPr>
            </w:pPr>
            <w:r w:rsidRPr="00827E28">
              <w:rPr>
                <w:b w:val="0"/>
                <w:bCs/>
              </w:rPr>
              <w:t>G-REITs</w:t>
            </w:r>
          </w:p>
        </w:tc>
        <w:tc>
          <w:tcPr>
            <w:tcW w:w="834" w:type="pct"/>
          </w:tcPr>
          <w:p w14:paraId="034D74C6"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086F3D">
              <w:t>+0.9</w:t>
            </w:r>
          </w:p>
        </w:tc>
        <w:tc>
          <w:tcPr>
            <w:tcW w:w="833" w:type="pct"/>
          </w:tcPr>
          <w:p w14:paraId="4D857A90"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47EF3">
              <w:t>+0.8</w:t>
            </w:r>
          </w:p>
        </w:tc>
        <w:tc>
          <w:tcPr>
            <w:tcW w:w="833" w:type="pct"/>
          </w:tcPr>
          <w:p w14:paraId="14BBCDB8"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F07870">
              <w:t>+1.4</w:t>
            </w:r>
          </w:p>
        </w:tc>
        <w:tc>
          <w:tcPr>
            <w:tcW w:w="833" w:type="pct"/>
          </w:tcPr>
          <w:p w14:paraId="03CFC970"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03597">
              <w:t>+1.0</w:t>
            </w:r>
          </w:p>
        </w:tc>
        <w:tc>
          <w:tcPr>
            <w:tcW w:w="833" w:type="pct"/>
          </w:tcPr>
          <w:p w14:paraId="556F8D00"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86FE7">
              <w:t>+1.0</w:t>
            </w:r>
          </w:p>
        </w:tc>
      </w:tr>
      <w:tr w:rsidR="00BB6B51" w14:paraId="2EE7A64A" w14:textId="77777777" w:rsidTr="007A563B">
        <w:tc>
          <w:tcPr>
            <w:cnfStyle w:val="001000000000" w:firstRow="0" w:lastRow="0" w:firstColumn="1" w:lastColumn="0" w:oddVBand="0" w:evenVBand="0" w:oddHBand="0" w:evenHBand="0" w:firstRowFirstColumn="0" w:firstRowLastColumn="0" w:lastRowFirstColumn="0" w:lastRowLastColumn="0"/>
            <w:tcW w:w="834" w:type="pct"/>
          </w:tcPr>
          <w:p w14:paraId="7C885392" w14:textId="77777777" w:rsidR="00BB6B51" w:rsidRPr="00827E28" w:rsidRDefault="00BB6B51" w:rsidP="007A563B">
            <w:pPr>
              <w:pStyle w:val="Tablecopy"/>
              <w:rPr>
                <w:b w:val="0"/>
                <w:bCs/>
              </w:rPr>
            </w:pPr>
            <w:r w:rsidRPr="00827E28">
              <w:rPr>
                <w:b w:val="0"/>
                <w:bCs/>
              </w:rPr>
              <w:t>Global fixed income</w:t>
            </w:r>
          </w:p>
        </w:tc>
        <w:tc>
          <w:tcPr>
            <w:tcW w:w="834" w:type="pct"/>
          </w:tcPr>
          <w:p w14:paraId="14FB1176"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086F3D">
              <w:t>+4.3</w:t>
            </w:r>
          </w:p>
        </w:tc>
        <w:tc>
          <w:tcPr>
            <w:tcW w:w="833" w:type="pct"/>
          </w:tcPr>
          <w:p w14:paraId="7ED9946F"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47EF3">
              <w:t>+2.4</w:t>
            </w:r>
          </w:p>
        </w:tc>
        <w:tc>
          <w:tcPr>
            <w:tcW w:w="833" w:type="pct"/>
          </w:tcPr>
          <w:p w14:paraId="7C206BD8"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F07870">
              <w:t>+2.0</w:t>
            </w:r>
          </w:p>
        </w:tc>
        <w:tc>
          <w:tcPr>
            <w:tcW w:w="833" w:type="pct"/>
          </w:tcPr>
          <w:p w14:paraId="02D631B0"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03597">
              <w:t>+3.0</w:t>
            </w:r>
          </w:p>
        </w:tc>
        <w:tc>
          <w:tcPr>
            <w:tcW w:w="833" w:type="pct"/>
          </w:tcPr>
          <w:p w14:paraId="6E3CD5EC"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86FE7">
              <w:t>-</w:t>
            </w:r>
          </w:p>
        </w:tc>
      </w:tr>
      <w:tr w:rsidR="00BB6B51" w14:paraId="3CB3BAD6" w14:textId="77777777" w:rsidTr="007A563B">
        <w:tc>
          <w:tcPr>
            <w:cnfStyle w:val="001000000000" w:firstRow="0" w:lastRow="0" w:firstColumn="1" w:lastColumn="0" w:oddVBand="0" w:evenVBand="0" w:oddHBand="0" w:evenHBand="0" w:firstRowFirstColumn="0" w:firstRowLastColumn="0" w:lastRowFirstColumn="0" w:lastRowLastColumn="0"/>
            <w:tcW w:w="834" w:type="pct"/>
          </w:tcPr>
          <w:p w14:paraId="07E3307D" w14:textId="77777777" w:rsidR="00BB6B51" w:rsidRPr="00827E28" w:rsidRDefault="00BB6B51" w:rsidP="007A563B">
            <w:pPr>
              <w:pStyle w:val="Tablecopy"/>
              <w:rPr>
                <w:b w:val="0"/>
                <w:bCs/>
              </w:rPr>
            </w:pPr>
            <w:r w:rsidRPr="00827E28">
              <w:rPr>
                <w:b w:val="0"/>
                <w:bCs/>
              </w:rPr>
              <w:t>Australian fixed income</w:t>
            </w:r>
          </w:p>
        </w:tc>
        <w:tc>
          <w:tcPr>
            <w:tcW w:w="834" w:type="pct"/>
          </w:tcPr>
          <w:p w14:paraId="31C7E974"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086F3D">
              <w:t>+1.7</w:t>
            </w:r>
          </w:p>
        </w:tc>
        <w:tc>
          <w:tcPr>
            <w:tcW w:w="833" w:type="pct"/>
          </w:tcPr>
          <w:p w14:paraId="5D53C9E6"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47EF3">
              <w:t>+1.1</w:t>
            </w:r>
          </w:p>
        </w:tc>
        <w:tc>
          <w:tcPr>
            <w:tcW w:w="833" w:type="pct"/>
          </w:tcPr>
          <w:p w14:paraId="727576AF"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F07870">
              <w:t>+0.4</w:t>
            </w:r>
          </w:p>
        </w:tc>
        <w:tc>
          <w:tcPr>
            <w:tcW w:w="833" w:type="pct"/>
          </w:tcPr>
          <w:p w14:paraId="1F571AA0"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03597">
              <w:t>+2.0</w:t>
            </w:r>
          </w:p>
        </w:tc>
        <w:tc>
          <w:tcPr>
            <w:tcW w:w="833" w:type="pct"/>
          </w:tcPr>
          <w:p w14:paraId="6BA53A1F"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86FE7">
              <w:t>-</w:t>
            </w:r>
          </w:p>
        </w:tc>
      </w:tr>
      <w:tr w:rsidR="00BB6B51" w14:paraId="46903894" w14:textId="77777777" w:rsidTr="007A563B">
        <w:tc>
          <w:tcPr>
            <w:cnfStyle w:val="001000000000" w:firstRow="0" w:lastRow="0" w:firstColumn="1" w:lastColumn="0" w:oddVBand="0" w:evenVBand="0" w:oddHBand="0" w:evenHBand="0" w:firstRowFirstColumn="0" w:firstRowLastColumn="0" w:lastRowFirstColumn="0" w:lastRowLastColumn="0"/>
            <w:tcW w:w="834" w:type="pct"/>
          </w:tcPr>
          <w:p w14:paraId="56137C15" w14:textId="77777777" w:rsidR="00BB6B51" w:rsidRPr="00827E28" w:rsidRDefault="00BB6B51" w:rsidP="007A563B">
            <w:pPr>
              <w:pStyle w:val="Tablecopy"/>
              <w:rPr>
                <w:b w:val="0"/>
                <w:bCs/>
              </w:rPr>
            </w:pPr>
            <w:r w:rsidRPr="00827E28">
              <w:rPr>
                <w:b w:val="0"/>
                <w:bCs/>
              </w:rPr>
              <w:t>Cash</w:t>
            </w:r>
          </w:p>
        </w:tc>
        <w:tc>
          <w:tcPr>
            <w:tcW w:w="834" w:type="pct"/>
          </w:tcPr>
          <w:p w14:paraId="448C1163"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086F3D">
              <w:t>-6.8</w:t>
            </w:r>
          </w:p>
        </w:tc>
        <w:tc>
          <w:tcPr>
            <w:tcW w:w="833" w:type="pct"/>
          </w:tcPr>
          <w:p w14:paraId="4C83E20C"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47EF3">
              <w:t>-1.9</w:t>
            </w:r>
          </w:p>
        </w:tc>
        <w:tc>
          <w:tcPr>
            <w:tcW w:w="833" w:type="pct"/>
          </w:tcPr>
          <w:p w14:paraId="7A83D374"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F07870">
              <w:t>-3.0</w:t>
            </w:r>
          </w:p>
        </w:tc>
        <w:tc>
          <w:tcPr>
            <w:tcW w:w="833" w:type="pct"/>
          </w:tcPr>
          <w:p w14:paraId="2E53F4F7"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03597">
              <w:t>-4.1</w:t>
            </w:r>
          </w:p>
        </w:tc>
        <w:tc>
          <w:tcPr>
            <w:tcW w:w="833" w:type="pct"/>
          </w:tcPr>
          <w:p w14:paraId="65E969E4" w14:textId="77777777" w:rsidR="00BB6B51" w:rsidRPr="00F12AE6" w:rsidRDefault="00BB6B51" w:rsidP="007A563B">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386FE7">
              <w:t>-</w:t>
            </w:r>
          </w:p>
        </w:tc>
      </w:tr>
    </w:tbl>
    <w:p w14:paraId="10B785E6" w14:textId="77777777" w:rsidR="00BB6B51" w:rsidRDefault="00BB6B51" w:rsidP="00BB6B51">
      <w:pPr>
        <w:pStyle w:val="Bodycopy"/>
      </w:pPr>
    </w:p>
    <w:p w14:paraId="7D1177D8" w14:textId="2CAAB3CD" w:rsidR="00C5126B" w:rsidRPr="00C5126B" w:rsidRDefault="00827E28" w:rsidP="00827E28">
      <w:pPr>
        <w:pStyle w:val="Heading1"/>
      </w:pPr>
      <w:r w:rsidRPr="00827E28">
        <w:lastRenderedPageBreak/>
        <w:t>Final asset class exposure after these changes (%)</w:t>
      </w:r>
      <w:r>
        <w:rPr>
          <w:rStyle w:val="FootnoteReference"/>
        </w:rPr>
        <w:footnoteReference w:id="3"/>
      </w:r>
    </w:p>
    <w:tbl>
      <w:tblPr>
        <w:tblStyle w:val="RPtable1"/>
        <w:tblW w:w="5000" w:type="pct"/>
        <w:tblLook w:val="06A0" w:firstRow="1" w:lastRow="0" w:firstColumn="1" w:lastColumn="0" w:noHBand="1" w:noVBand="1"/>
      </w:tblPr>
      <w:tblGrid>
        <w:gridCol w:w="1721"/>
        <w:gridCol w:w="1721"/>
        <w:gridCol w:w="1719"/>
        <w:gridCol w:w="1719"/>
        <w:gridCol w:w="1719"/>
        <w:gridCol w:w="1719"/>
      </w:tblGrid>
      <w:tr w:rsidR="00827E28" w14:paraId="110C1845" w14:textId="77777777" w:rsidTr="00827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vMerge w:val="restart"/>
          </w:tcPr>
          <w:p w14:paraId="1ECB94D8" w14:textId="77777777" w:rsidR="00827E28" w:rsidRDefault="00827E28" w:rsidP="007A563B">
            <w:pPr>
              <w:pStyle w:val="Tablecopy"/>
            </w:pPr>
            <w:r>
              <w:t>ASSET CLASS</w:t>
            </w:r>
          </w:p>
        </w:tc>
        <w:tc>
          <w:tcPr>
            <w:tcW w:w="4166" w:type="pct"/>
            <w:gridSpan w:val="5"/>
          </w:tcPr>
          <w:p w14:paraId="0D84798E" w14:textId="0A7EAE12" w:rsidR="00827E28" w:rsidRDefault="00827E28" w:rsidP="007A563B">
            <w:pPr>
              <w:pStyle w:val="Tablecopy"/>
              <w:jc w:val="center"/>
              <w:cnfStyle w:val="100000000000" w:firstRow="1" w:lastRow="0" w:firstColumn="0" w:lastColumn="0" w:oddVBand="0" w:evenVBand="0" w:oddHBand="0" w:evenHBand="0" w:firstRowFirstColumn="0" w:firstRowLastColumn="0" w:lastRowFirstColumn="0" w:lastRowLastColumn="0"/>
              <w:rPr>
                <w:b w:val="0"/>
                <w:caps w:val="0"/>
              </w:rPr>
            </w:pPr>
            <w:r>
              <w:t>RISK PROFILE</w:t>
            </w:r>
          </w:p>
        </w:tc>
      </w:tr>
      <w:tr w:rsidR="00827E28" w14:paraId="59628927" w14:textId="77777777" w:rsidTr="00827E28">
        <w:tc>
          <w:tcPr>
            <w:cnfStyle w:val="001000000000" w:firstRow="0" w:lastRow="0" w:firstColumn="1" w:lastColumn="0" w:oddVBand="0" w:evenVBand="0" w:oddHBand="0" w:evenHBand="0" w:firstRowFirstColumn="0" w:firstRowLastColumn="0" w:lastRowFirstColumn="0" w:lastRowLastColumn="0"/>
            <w:tcW w:w="834" w:type="pct"/>
            <w:vMerge/>
            <w:tcBorders>
              <w:bottom w:val="single" w:sz="36" w:space="0" w:color="auto"/>
            </w:tcBorders>
          </w:tcPr>
          <w:p w14:paraId="180BD14F" w14:textId="77777777" w:rsidR="00827E28" w:rsidRDefault="00827E28" w:rsidP="007A563B">
            <w:pPr>
              <w:pStyle w:val="Tablecopy"/>
            </w:pPr>
          </w:p>
        </w:tc>
        <w:tc>
          <w:tcPr>
            <w:tcW w:w="834" w:type="pct"/>
            <w:tcBorders>
              <w:bottom w:val="single" w:sz="36" w:space="0" w:color="auto"/>
            </w:tcBorders>
            <w:shd w:val="clear" w:color="auto" w:fill="DEDFDF" w:themeFill="text2" w:themeFillTint="33"/>
          </w:tcPr>
          <w:p w14:paraId="18697DB2" w14:textId="77777777" w:rsidR="00827E28" w:rsidRPr="00D173C2" w:rsidRDefault="00827E28" w:rsidP="007A563B">
            <w:pPr>
              <w:pStyle w:val="Tablecopy"/>
              <w:jc w:val="center"/>
              <w:cnfStyle w:val="000000000000" w:firstRow="0" w:lastRow="0" w:firstColumn="0" w:lastColumn="0" w:oddVBand="0" w:evenVBand="0" w:oddHBand="0" w:evenHBand="0" w:firstRowFirstColumn="0" w:firstRowLastColumn="0" w:lastRowFirstColumn="0" w:lastRowLastColumn="0"/>
              <w:rPr>
                <w:b/>
                <w:bCs/>
              </w:rPr>
            </w:pPr>
            <w:r w:rsidRPr="00D173C2">
              <w:rPr>
                <w:b/>
                <w:bCs/>
              </w:rPr>
              <w:t>CONSERVATIVE</w:t>
            </w:r>
          </w:p>
        </w:tc>
        <w:tc>
          <w:tcPr>
            <w:tcW w:w="833" w:type="pct"/>
            <w:tcBorders>
              <w:bottom w:val="single" w:sz="36" w:space="0" w:color="auto"/>
            </w:tcBorders>
            <w:shd w:val="clear" w:color="auto" w:fill="DEDFDF" w:themeFill="text2" w:themeFillTint="33"/>
          </w:tcPr>
          <w:p w14:paraId="2207DFC5" w14:textId="77777777" w:rsidR="00827E28" w:rsidRPr="00D173C2" w:rsidRDefault="00827E28"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DIV 50</w:t>
            </w:r>
          </w:p>
        </w:tc>
        <w:tc>
          <w:tcPr>
            <w:tcW w:w="833" w:type="pct"/>
            <w:tcBorders>
              <w:bottom w:val="single" w:sz="36" w:space="0" w:color="auto"/>
            </w:tcBorders>
            <w:shd w:val="clear" w:color="auto" w:fill="DEDFDF" w:themeFill="text2" w:themeFillTint="33"/>
          </w:tcPr>
          <w:p w14:paraId="232054B2" w14:textId="77777777" w:rsidR="00827E28" w:rsidRPr="00D173C2" w:rsidRDefault="00827E28"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BALANCED</w:t>
            </w:r>
          </w:p>
        </w:tc>
        <w:tc>
          <w:tcPr>
            <w:tcW w:w="833" w:type="pct"/>
            <w:tcBorders>
              <w:bottom w:val="single" w:sz="36" w:space="0" w:color="auto"/>
            </w:tcBorders>
            <w:shd w:val="clear" w:color="auto" w:fill="DEDFDF" w:themeFill="text2" w:themeFillTint="33"/>
          </w:tcPr>
          <w:p w14:paraId="2A5DF91F" w14:textId="77777777" w:rsidR="00827E28" w:rsidRPr="00D173C2" w:rsidRDefault="00827E28"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GROWTH</w:t>
            </w:r>
          </w:p>
        </w:tc>
        <w:tc>
          <w:tcPr>
            <w:tcW w:w="833" w:type="pct"/>
            <w:tcBorders>
              <w:bottom w:val="single" w:sz="36" w:space="0" w:color="auto"/>
            </w:tcBorders>
            <w:shd w:val="clear" w:color="auto" w:fill="DEDFDF" w:themeFill="text2" w:themeFillTint="33"/>
          </w:tcPr>
          <w:p w14:paraId="722AE689" w14:textId="77777777" w:rsidR="00827E28" w:rsidRPr="00D173C2" w:rsidRDefault="00827E28" w:rsidP="007A563B">
            <w:pPr>
              <w:pStyle w:val="Tablecopy"/>
              <w:jc w:val="center"/>
              <w:cnfStyle w:val="000000000000" w:firstRow="0" w:lastRow="0" w:firstColumn="0" w:lastColumn="0" w:oddVBand="0" w:evenVBand="0" w:oddHBand="0" w:evenHBand="0" w:firstRowFirstColumn="0" w:firstRowLastColumn="0" w:lastRowFirstColumn="0" w:lastRowLastColumn="0"/>
              <w:rPr>
                <w:b/>
                <w:bCs/>
                <w:caps/>
              </w:rPr>
            </w:pPr>
            <w:r w:rsidRPr="00D173C2">
              <w:rPr>
                <w:b/>
                <w:bCs/>
                <w:caps/>
              </w:rPr>
              <w:t>HIGH GROWTH</w:t>
            </w:r>
          </w:p>
        </w:tc>
      </w:tr>
      <w:tr w:rsidR="00BB6B51" w14:paraId="2784BC1D" w14:textId="77777777" w:rsidTr="00827E28">
        <w:tc>
          <w:tcPr>
            <w:cnfStyle w:val="001000000000" w:firstRow="0" w:lastRow="0" w:firstColumn="1" w:lastColumn="0" w:oddVBand="0" w:evenVBand="0" w:oddHBand="0" w:evenHBand="0" w:firstRowFirstColumn="0" w:firstRowLastColumn="0" w:lastRowFirstColumn="0" w:lastRowLastColumn="0"/>
            <w:tcW w:w="834" w:type="pct"/>
            <w:tcBorders>
              <w:top w:val="single" w:sz="36" w:space="0" w:color="auto"/>
            </w:tcBorders>
          </w:tcPr>
          <w:p w14:paraId="34347B5B" w14:textId="42927896" w:rsidR="00BB6B51" w:rsidRPr="00BB6B51" w:rsidRDefault="00BB6B51" w:rsidP="00BB6B51">
            <w:pPr>
              <w:pStyle w:val="Tablecopy"/>
            </w:pPr>
            <w:r w:rsidRPr="00BB6B51">
              <w:t>GROWTH ASSETS</w:t>
            </w:r>
          </w:p>
        </w:tc>
        <w:tc>
          <w:tcPr>
            <w:tcW w:w="834" w:type="pct"/>
            <w:tcBorders>
              <w:top w:val="single" w:sz="36" w:space="0" w:color="auto"/>
            </w:tcBorders>
          </w:tcPr>
          <w:p w14:paraId="5C6D11E5" w14:textId="68554EF1"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31.8</w:t>
            </w:r>
          </w:p>
        </w:tc>
        <w:tc>
          <w:tcPr>
            <w:tcW w:w="833" w:type="pct"/>
            <w:tcBorders>
              <w:top w:val="single" w:sz="36" w:space="0" w:color="auto"/>
            </w:tcBorders>
          </w:tcPr>
          <w:p w14:paraId="5F54751A" w14:textId="5DFECAFE"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51.2</w:t>
            </w:r>
          </w:p>
        </w:tc>
        <w:tc>
          <w:tcPr>
            <w:tcW w:w="833" w:type="pct"/>
            <w:tcBorders>
              <w:top w:val="single" w:sz="36" w:space="0" w:color="auto"/>
            </w:tcBorders>
          </w:tcPr>
          <w:p w14:paraId="461D4A66" w14:textId="7E0E3FA5"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67.7</w:t>
            </w:r>
          </w:p>
        </w:tc>
        <w:tc>
          <w:tcPr>
            <w:tcW w:w="833" w:type="pct"/>
            <w:tcBorders>
              <w:top w:val="single" w:sz="36" w:space="0" w:color="auto"/>
            </w:tcBorders>
          </w:tcPr>
          <w:p w14:paraId="6CBC10BB" w14:textId="1CCC2247"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83.2</w:t>
            </w:r>
          </w:p>
        </w:tc>
        <w:tc>
          <w:tcPr>
            <w:tcW w:w="833" w:type="pct"/>
            <w:tcBorders>
              <w:top w:val="single" w:sz="36" w:space="0" w:color="auto"/>
            </w:tcBorders>
          </w:tcPr>
          <w:p w14:paraId="05DAC26F" w14:textId="047DC52C"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97.7</w:t>
            </w:r>
          </w:p>
        </w:tc>
      </w:tr>
      <w:tr w:rsidR="00BB6B51" w14:paraId="60AFE793"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2A315CF5" w14:textId="0828F554" w:rsidR="00BB6B51" w:rsidRPr="00827E28" w:rsidRDefault="00BB6B51" w:rsidP="00BB6B51">
            <w:pPr>
              <w:pStyle w:val="Tablecopy"/>
              <w:rPr>
                <w:b w:val="0"/>
                <w:bCs/>
              </w:rPr>
            </w:pPr>
            <w:r w:rsidRPr="00827E28">
              <w:rPr>
                <w:b w:val="0"/>
                <w:bCs/>
              </w:rPr>
              <w:t>Australian equity</w:t>
            </w:r>
          </w:p>
        </w:tc>
        <w:tc>
          <w:tcPr>
            <w:tcW w:w="834" w:type="pct"/>
          </w:tcPr>
          <w:p w14:paraId="42C7F43A" w14:textId="2BC2585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13.0</w:t>
            </w:r>
          </w:p>
        </w:tc>
        <w:tc>
          <w:tcPr>
            <w:tcW w:w="833" w:type="pct"/>
          </w:tcPr>
          <w:p w14:paraId="0BF12B04" w14:textId="12BE4AD7"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21.3</w:t>
            </w:r>
          </w:p>
        </w:tc>
        <w:tc>
          <w:tcPr>
            <w:tcW w:w="833" w:type="pct"/>
          </w:tcPr>
          <w:p w14:paraId="3E0BF90B" w14:textId="03AC9C19"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29.1</w:t>
            </w:r>
          </w:p>
        </w:tc>
        <w:tc>
          <w:tcPr>
            <w:tcW w:w="833" w:type="pct"/>
          </w:tcPr>
          <w:p w14:paraId="6C5DE480" w14:textId="5E4BC38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36.0</w:t>
            </w:r>
          </w:p>
        </w:tc>
        <w:tc>
          <w:tcPr>
            <w:tcW w:w="833" w:type="pct"/>
          </w:tcPr>
          <w:p w14:paraId="6913E39B" w14:textId="6801E287"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41.7</w:t>
            </w:r>
          </w:p>
        </w:tc>
      </w:tr>
      <w:tr w:rsidR="00BB6B51" w14:paraId="327E716A"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5753E4F7" w14:textId="26583B09" w:rsidR="00BB6B51" w:rsidRPr="00827E28" w:rsidRDefault="00BB6B51" w:rsidP="00BB6B51">
            <w:pPr>
              <w:pStyle w:val="Tablecopy"/>
              <w:rPr>
                <w:b w:val="0"/>
                <w:bCs/>
              </w:rPr>
            </w:pPr>
            <w:r w:rsidRPr="00827E28">
              <w:rPr>
                <w:b w:val="0"/>
                <w:bCs/>
              </w:rPr>
              <w:t>Global equity</w:t>
            </w:r>
          </w:p>
        </w:tc>
        <w:tc>
          <w:tcPr>
            <w:tcW w:w="834" w:type="pct"/>
          </w:tcPr>
          <w:p w14:paraId="4883CD84" w14:textId="59C3741E"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12.8</w:t>
            </w:r>
          </w:p>
        </w:tc>
        <w:tc>
          <w:tcPr>
            <w:tcW w:w="833" w:type="pct"/>
          </w:tcPr>
          <w:p w14:paraId="03702F7A" w14:textId="2949E868"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22.9</w:t>
            </w:r>
          </w:p>
        </w:tc>
        <w:tc>
          <w:tcPr>
            <w:tcW w:w="833" w:type="pct"/>
          </w:tcPr>
          <w:p w14:paraId="01DA0BBA" w14:textId="0FED280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29.8</w:t>
            </w:r>
          </w:p>
        </w:tc>
        <w:tc>
          <w:tcPr>
            <w:tcW w:w="833" w:type="pct"/>
          </w:tcPr>
          <w:p w14:paraId="25009F16" w14:textId="1B99D62F"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38.5</w:t>
            </w:r>
          </w:p>
        </w:tc>
        <w:tc>
          <w:tcPr>
            <w:tcW w:w="833" w:type="pct"/>
          </w:tcPr>
          <w:p w14:paraId="23E3D188" w14:textId="2B5C421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44.3</w:t>
            </w:r>
          </w:p>
        </w:tc>
      </w:tr>
      <w:tr w:rsidR="00BB6B51" w14:paraId="18DCBB2B"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37D1BD36" w14:textId="21DD7F7E" w:rsidR="00BB6B51" w:rsidRPr="00827E28" w:rsidRDefault="00BB6B51" w:rsidP="00BB6B51">
            <w:pPr>
              <w:pStyle w:val="Tablecopy"/>
              <w:rPr>
                <w:b w:val="0"/>
                <w:bCs/>
              </w:rPr>
            </w:pPr>
            <w:r w:rsidRPr="00827E28">
              <w:rPr>
                <w:b w:val="0"/>
                <w:bCs/>
              </w:rPr>
              <w:t>Australian property</w:t>
            </w:r>
          </w:p>
        </w:tc>
        <w:tc>
          <w:tcPr>
            <w:tcW w:w="834" w:type="pct"/>
          </w:tcPr>
          <w:p w14:paraId="045481F5" w14:textId="3A4A886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0.7</w:t>
            </w:r>
          </w:p>
        </w:tc>
        <w:tc>
          <w:tcPr>
            <w:tcW w:w="833" w:type="pct"/>
          </w:tcPr>
          <w:p w14:paraId="390A5677" w14:textId="1365B08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1.3</w:t>
            </w:r>
          </w:p>
        </w:tc>
        <w:tc>
          <w:tcPr>
            <w:tcW w:w="833" w:type="pct"/>
          </w:tcPr>
          <w:p w14:paraId="5CA3F17D" w14:textId="18245554"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1.8</w:t>
            </w:r>
          </w:p>
        </w:tc>
        <w:tc>
          <w:tcPr>
            <w:tcW w:w="833" w:type="pct"/>
          </w:tcPr>
          <w:p w14:paraId="18743595" w14:textId="77BA9A5E"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2.1</w:t>
            </w:r>
          </w:p>
        </w:tc>
        <w:tc>
          <w:tcPr>
            <w:tcW w:w="833" w:type="pct"/>
          </w:tcPr>
          <w:p w14:paraId="3D38618E" w14:textId="0D5F44AB"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3.4</w:t>
            </w:r>
          </w:p>
        </w:tc>
      </w:tr>
      <w:tr w:rsidR="00BB6B51" w14:paraId="4C771175"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67051226" w14:textId="4970D998" w:rsidR="00BB6B51" w:rsidRPr="00827E28" w:rsidRDefault="00BB6B51" w:rsidP="00BB6B51">
            <w:pPr>
              <w:pStyle w:val="Tablecopy"/>
              <w:rPr>
                <w:b w:val="0"/>
                <w:bCs/>
              </w:rPr>
            </w:pPr>
            <w:r w:rsidRPr="00827E28">
              <w:rPr>
                <w:b w:val="0"/>
                <w:bCs/>
              </w:rPr>
              <w:t>Global property</w:t>
            </w:r>
          </w:p>
        </w:tc>
        <w:tc>
          <w:tcPr>
            <w:tcW w:w="834" w:type="pct"/>
          </w:tcPr>
          <w:p w14:paraId="4896181E" w14:textId="58609C28"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2.0</w:t>
            </w:r>
          </w:p>
        </w:tc>
        <w:tc>
          <w:tcPr>
            <w:tcW w:w="833" w:type="pct"/>
          </w:tcPr>
          <w:p w14:paraId="41280859" w14:textId="3F310CB8"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3.1</w:t>
            </w:r>
          </w:p>
        </w:tc>
        <w:tc>
          <w:tcPr>
            <w:tcW w:w="833" w:type="pct"/>
          </w:tcPr>
          <w:p w14:paraId="37D502D1" w14:textId="44EA3C60"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4.0</w:t>
            </w:r>
          </w:p>
        </w:tc>
        <w:tc>
          <w:tcPr>
            <w:tcW w:w="833" w:type="pct"/>
          </w:tcPr>
          <w:p w14:paraId="01D9E685" w14:textId="4CC10B6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3.8</w:t>
            </w:r>
          </w:p>
        </w:tc>
        <w:tc>
          <w:tcPr>
            <w:tcW w:w="833" w:type="pct"/>
          </w:tcPr>
          <w:p w14:paraId="1F6D2096" w14:textId="1ADA1A5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4.0</w:t>
            </w:r>
          </w:p>
        </w:tc>
      </w:tr>
      <w:tr w:rsidR="00BB6B51" w14:paraId="040195CA"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0EE5A1B4" w14:textId="09586760" w:rsidR="00BB6B51" w:rsidRPr="00827E28" w:rsidRDefault="00BB6B51" w:rsidP="00BB6B51">
            <w:pPr>
              <w:pStyle w:val="Tablecopy"/>
              <w:rPr>
                <w:b w:val="0"/>
                <w:bCs/>
              </w:rPr>
            </w:pPr>
            <w:r w:rsidRPr="00827E28">
              <w:rPr>
                <w:b w:val="0"/>
                <w:bCs/>
              </w:rPr>
              <w:t>Infrastructure</w:t>
            </w:r>
          </w:p>
        </w:tc>
        <w:tc>
          <w:tcPr>
            <w:tcW w:w="834" w:type="pct"/>
          </w:tcPr>
          <w:p w14:paraId="1A7934F5" w14:textId="0D538D37"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1.5</w:t>
            </w:r>
          </w:p>
        </w:tc>
        <w:tc>
          <w:tcPr>
            <w:tcW w:w="833" w:type="pct"/>
          </w:tcPr>
          <w:p w14:paraId="36F1682E" w14:textId="57C1D019"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1.4</w:t>
            </w:r>
          </w:p>
        </w:tc>
        <w:tc>
          <w:tcPr>
            <w:tcW w:w="833" w:type="pct"/>
          </w:tcPr>
          <w:p w14:paraId="663689FF" w14:textId="691B05F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2.3</w:t>
            </w:r>
          </w:p>
        </w:tc>
        <w:tc>
          <w:tcPr>
            <w:tcW w:w="833" w:type="pct"/>
          </w:tcPr>
          <w:p w14:paraId="5558DAF2" w14:textId="24E0111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2.3</w:t>
            </w:r>
          </w:p>
        </w:tc>
        <w:tc>
          <w:tcPr>
            <w:tcW w:w="833" w:type="pct"/>
          </w:tcPr>
          <w:p w14:paraId="4CD4518D" w14:textId="3C30E9E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4.3</w:t>
            </w:r>
          </w:p>
        </w:tc>
      </w:tr>
      <w:tr w:rsidR="00BB6B51" w14:paraId="65D76C03"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4BDC173C" w14:textId="1F828879" w:rsidR="00BB6B51" w:rsidRPr="00827E28" w:rsidRDefault="00BB6B51" w:rsidP="00BB6B51">
            <w:pPr>
              <w:pStyle w:val="Tablecopy"/>
              <w:rPr>
                <w:b w:val="0"/>
                <w:bCs/>
              </w:rPr>
            </w:pPr>
            <w:r w:rsidRPr="00827E28">
              <w:rPr>
                <w:b w:val="0"/>
                <w:bCs/>
              </w:rPr>
              <w:t>Growth alternatives</w:t>
            </w:r>
          </w:p>
        </w:tc>
        <w:tc>
          <w:tcPr>
            <w:tcW w:w="834" w:type="pct"/>
          </w:tcPr>
          <w:p w14:paraId="5574431E" w14:textId="595D32E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0.0</w:t>
            </w:r>
          </w:p>
        </w:tc>
        <w:tc>
          <w:tcPr>
            <w:tcW w:w="833" w:type="pct"/>
          </w:tcPr>
          <w:p w14:paraId="683FCC6F" w14:textId="4159467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0.0</w:t>
            </w:r>
          </w:p>
        </w:tc>
        <w:tc>
          <w:tcPr>
            <w:tcW w:w="833" w:type="pct"/>
          </w:tcPr>
          <w:p w14:paraId="7292A5CC" w14:textId="4CBFCAF0"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0.0</w:t>
            </w:r>
          </w:p>
        </w:tc>
        <w:tc>
          <w:tcPr>
            <w:tcW w:w="833" w:type="pct"/>
          </w:tcPr>
          <w:p w14:paraId="7EEF7D64" w14:textId="42FB830E"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0.0</w:t>
            </w:r>
          </w:p>
        </w:tc>
        <w:tc>
          <w:tcPr>
            <w:tcW w:w="833" w:type="pct"/>
          </w:tcPr>
          <w:p w14:paraId="44AA4FF3" w14:textId="3B8AE1AB"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4123FE65"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1457A6C1" w14:textId="6DBA3F14" w:rsidR="00BB6B51" w:rsidRPr="00827E28" w:rsidRDefault="00BB6B51" w:rsidP="00BB6B51">
            <w:pPr>
              <w:pStyle w:val="Tablecopy"/>
              <w:rPr>
                <w:b w:val="0"/>
                <w:bCs/>
              </w:rPr>
            </w:pPr>
            <w:r w:rsidRPr="00827E28">
              <w:rPr>
                <w:b w:val="0"/>
                <w:bCs/>
              </w:rPr>
              <w:t>Extended credit</w:t>
            </w:r>
          </w:p>
        </w:tc>
        <w:tc>
          <w:tcPr>
            <w:tcW w:w="834" w:type="pct"/>
          </w:tcPr>
          <w:p w14:paraId="01A4F0AA" w14:textId="67776D8F"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1.8</w:t>
            </w:r>
          </w:p>
        </w:tc>
        <w:tc>
          <w:tcPr>
            <w:tcW w:w="833" w:type="pct"/>
          </w:tcPr>
          <w:p w14:paraId="2FB1663A" w14:textId="18F04474"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1.3</w:t>
            </w:r>
          </w:p>
        </w:tc>
        <w:tc>
          <w:tcPr>
            <w:tcW w:w="833" w:type="pct"/>
          </w:tcPr>
          <w:p w14:paraId="43AB88F3" w14:textId="74D9319A"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0.6</w:t>
            </w:r>
          </w:p>
        </w:tc>
        <w:tc>
          <w:tcPr>
            <w:tcW w:w="833" w:type="pct"/>
          </w:tcPr>
          <w:p w14:paraId="26B1BB5E" w14:textId="45DF8DA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0.6</w:t>
            </w:r>
          </w:p>
        </w:tc>
        <w:tc>
          <w:tcPr>
            <w:tcW w:w="833" w:type="pct"/>
          </w:tcPr>
          <w:p w14:paraId="0B6DC24B" w14:textId="5A003C47"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72C3BE40"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1CE340E2" w14:textId="1D12DA27" w:rsidR="00BB6B51" w:rsidRPr="00BB6B51" w:rsidRDefault="00BB6B51" w:rsidP="00BB6B51">
            <w:pPr>
              <w:pStyle w:val="Tablecopy"/>
            </w:pPr>
            <w:r w:rsidRPr="00BB6B51">
              <w:t>DEFENSIVE ASSETS</w:t>
            </w:r>
          </w:p>
        </w:tc>
        <w:tc>
          <w:tcPr>
            <w:tcW w:w="834" w:type="pct"/>
          </w:tcPr>
          <w:p w14:paraId="553CEFEC" w14:textId="6BB30161"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68.2</w:t>
            </w:r>
          </w:p>
        </w:tc>
        <w:tc>
          <w:tcPr>
            <w:tcW w:w="833" w:type="pct"/>
          </w:tcPr>
          <w:p w14:paraId="1DCD1810" w14:textId="547EE317"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48.8</w:t>
            </w:r>
          </w:p>
        </w:tc>
        <w:tc>
          <w:tcPr>
            <w:tcW w:w="833" w:type="pct"/>
          </w:tcPr>
          <w:p w14:paraId="6020E3CB" w14:textId="4B50C7AC"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32.3</w:t>
            </w:r>
          </w:p>
        </w:tc>
        <w:tc>
          <w:tcPr>
            <w:tcW w:w="833" w:type="pct"/>
          </w:tcPr>
          <w:p w14:paraId="68CFD59C" w14:textId="2C4AD44E"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16.7</w:t>
            </w:r>
          </w:p>
        </w:tc>
        <w:tc>
          <w:tcPr>
            <w:tcW w:w="833" w:type="pct"/>
          </w:tcPr>
          <w:p w14:paraId="0842ACF9" w14:textId="561563DB" w:rsidR="00BB6B51" w:rsidRPr="00BB6B51"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
              </w:rPr>
            </w:pPr>
            <w:r w:rsidRPr="00BB6B51">
              <w:rPr>
                <w:b/>
              </w:rPr>
              <w:t>2.2</w:t>
            </w:r>
          </w:p>
        </w:tc>
      </w:tr>
      <w:tr w:rsidR="00BB6B51" w14:paraId="27A6C717"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5A669C67" w14:textId="7747D59E" w:rsidR="00BB6B51" w:rsidRPr="00827E28" w:rsidRDefault="00BB6B51" w:rsidP="00BB6B51">
            <w:pPr>
              <w:pStyle w:val="Tablecopy"/>
              <w:rPr>
                <w:b w:val="0"/>
                <w:bCs/>
              </w:rPr>
            </w:pPr>
            <w:r w:rsidRPr="00827E28">
              <w:rPr>
                <w:b w:val="0"/>
                <w:bCs/>
              </w:rPr>
              <w:t>Loans &amp; absolute return credit</w:t>
            </w:r>
          </w:p>
        </w:tc>
        <w:tc>
          <w:tcPr>
            <w:tcW w:w="834" w:type="pct"/>
          </w:tcPr>
          <w:p w14:paraId="2D8B0A3D" w14:textId="4D48DEC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0.0</w:t>
            </w:r>
          </w:p>
        </w:tc>
        <w:tc>
          <w:tcPr>
            <w:tcW w:w="833" w:type="pct"/>
          </w:tcPr>
          <w:p w14:paraId="4A149270" w14:textId="22DAD81A"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0.0</w:t>
            </w:r>
          </w:p>
        </w:tc>
        <w:tc>
          <w:tcPr>
            <w:tcW w:w="833" w:type="pct"/>
          </w:tcPr>
          <w:p w14:paraId="1242A915" w14:textId="7508EC8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0.0</w:t>
            </w:r>
          </w:p>
        </w:tc>
        <w:tc>
          <w:tcPr>
            <w:tcW w:w="833" w:type="pct"/>
          </w:tcPr>
          <w:p w14:paraId="225D4EAA" w14:textId="4DBF7F7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0.0</w:t>
            </w:r>
          </w:p>
        </w:tc>
        <w:tc>
          <w:tcPr>
            <w:tcW w:w="833" w:type="pct"/>
          </w:tcPr>
          <w:p w14:paraId="709FA6E6" w14:textId="0DA4B043"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5B755CF7"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44308C08" w14:textId="19DB0B3B" w:rsidR="00BB6B51" w:rsidRPr="00827E28" w:rsidRDefault="00BB6B51" w:rsidP="00BB6B51">
            <w:pPr>
              <w:pStyle w:val="Tablecopy"/>
              <w:rPr>
                <w:b w:val="0"/>
                <w:bCs/>
              </w:rPr>
            </w:pPr>
            <w:r w:rsidRPr="00827E28">
              <w:rPr>
                <w:b w:val="0"/>
                <w:bCs/>
              </w:rPr>
              <w:t>Australian fixed income</w:t>
            </w:r>
          </w:p>
        </w:tc>
        <w:tc>
          <w:tcPr>
            <w:tcW w:w="834" w:type="pct"/>
          </w:tcPr>
          <w:p w14:paraId="1578DE1C" w14:textId="7F981BFC"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22.7</w:t>
            </w:r>
          </w:p>
        </w:tc>
        <w:tc>
          <w:tcPr>
            <w:tcW w:w="833" w:type="pct"/>
          </w:tcPr>
          <w:p w14:paraId="58ED8B6C" w14:textId="40A122C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17.3</w:t>
            </w:r>
          </w:p>
        </w:tc>
        <w:tc>
          <w:tcPr>
            <w:tcW w:w="833" w:type="pct"/>
          </w:tcPr>
          <w:p w14:paraId="2C0A915E" w14:textId="72669EC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12.3</w:t>
            </w:r>
          </w:p>
        </w:tc>
        <w:tc>
          <w:tcPr>
            <w:tcW w:w="833" w:type="pct"/>
          </w:tcPr>
          <w:p w14:paraId="2C77828A" w14:textId="468ABF5E"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5.2</w:t>
            </w:r>
          </w:p>
        </w:tc>
        <w:tc>
          <w:tcPr>
            <w:tcW w:w="833" w:type="pct"/>
          </w:tcPr>
          <w:p w14:paraId="7FD7B53B" w14:textId="020ABCCE"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188FCD93"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407C4AFE" w14:textId="034AA197" w:rsidR="00BB6B51" w:rsidRPr="00827E28" w:rsidRDefault="00BB6B51" w:rsidP="00BB6B51">
            <w:pPr>
              <w:pStyle w:val="Tablecopy"/>
              <w:rPr>
                <w:b w:val="0"/>
                <w:bCs/>
              </w:rPr>
            </w:pPr>
            <w:r w:rsidRPr="00827E28">
              <w:rPr>
                <w:b w:val="0"/>
                <w:bCs/>
              </w:rPr>
              <w:t>Global fixed income</w:t>
            </w:r>
          </w:p>
        </w:tc>
        <w:tc>
          <w:tcPr>
            <w:tcW w:w="834" w:type="pct"/>
          </w:tcPr>
          <w:p w14:paraId="7B55D540" w14:textId="097697A0"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22.6</w:t>
            </w:r>
          </w:p>
        </w:tc>
        <w:tc>
          <w:tcPr>
            <w:tcW w:w="833" w:type="pct"/>
          </w:tcPr>
          <w:p w14:paraId="26E2F66E" w14:textId="00BF20A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14.5</w:t>
            </w:r>
          </w:p>
        </w:tc>
        <w:tc>
          <w:tcPr>
            <w:tcW w:w="833" w:type="pct"/>
          </w:tcPr>
          <w:p w14:paraId="6C14AF4D" w14:textId="65E5367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8.6</w:t>
            </w:r>
          </w:p>
        </w:tc>
        <w:tc>
          <w:tcPr>
            <w:tcW w:w="833" w:type="pct"/>
          </w:tcPr>
          <w:p w14:paraId="709618E7" w14:textId="53DC54A3"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5.3</w:t>
            </w:r>
          </w:p>
        </w:tc>
        <w:tc>
          <w:tcPr>
            <w:tcW w:w="833" w:type="pct"/>
          </w:tcPr>
          <w:p w14:paraId="4946408A" w14:textId="70F9E2BB"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03BBB556"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5FCE51B3" w14:textId="6125D873" w:rsidR="00BB6B51" w:rsidRPr="00827E28" w:rsidRDefault="00BB6B51" w:rsidP="00BB6B51">
            <w:pPr>
              <w:pStyle w:val="Tablecopy"/>
              <w:rPr>
                <w:b w:val="0"/>
                <w:bCs/>
              </w:rPr>
            </w:pPr>
            <w:r w:rsidRPr="00827E28">
              <w:rPr>
                <w:b w:val="0"/>
                <w:bCs/>
              </w:rPr>
              <w:t>Defensive alternatives</w:t>
            </w:r>
          </w:p>
        </w:tc>
        <w:tc>
          <w:tcPr>
            <w:tcW w:w="834" w:type="pct"/>
          </w:tcPr>
          <w:p w14:paraId="09211CF1" w14:textId="25A3790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3.7</w:t>
            </w:r>
          </w:p>
        </w:tc>
        <w:tc>
          <w:tcPr>
            <w:tcW w:w="833" w:type="pct"/>
          </w:tcPr>
          <w:p w14:paraId="56600604" w14:textId="3F538426"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1.9</w:t>
            </w:r>
          </w:p>
        </w:tc>
        <w:tc>
          <w:tcPr>
            <w:tcW w:w="833" w:type="pct"/>
          </w:tcPr>
          <w:p w14:paraId="3CD3B7B2" w14:textId="25666F49"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1.8</w:t>
            </w:r>
          </w:p>
        </w:tc>
        <w:tc>
          <w:tcPr>
            <w:tcW w:w="833" w:type="pct"/>
          </w:tcPr>
          <w:p w14:paraId="213B0540" w14:textId="46A7C2B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0.9</w:t>
            </w:r>
          </w:p>
        </w:tc>
        <w:tc>
          <w:tcPr>
            <w:tcW w:w="833" w:type="pct"/>
          </w:tcPr>
          <w:p w14:paraId="70453D11" w14:textId="3D7C0D1B"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2EA825DC"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53286055" w14:textId="03ED8F45" w:rsidR="00BB6B51" w:rsidRPr="00827E28" w:rsidRDefault="00BB6B51" w:rsidP="00BB6B51">
            <w:pPr>
              <w:pStyle w:val="Tablecopy"/>
              <w:rPr>
                <w:b w:val="0"/>
                <w:bCs/>
              </w:rPr>
            </w:pPr>
            <w:r w:rsidRPr="00827E28">
              <w:rPr>
                <w:b w:val="0"/>
                <w:bCs/>
              </w:rPr>
              <w:t>Short-term credit</w:t>
            </w:r>
          </w:p>
        </w:tc>
        <w:tc>
          <w:tcPr>
            <w:tcW w:w="834" w:type="pct"/>
          </w:tcPr>
          <w:p w14:paraId="4F0490A4" w14:textId="0B66688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11.7</w:t>
            </w:r>
          </w:p>
        </w:tc>
        <w:tc>
          <w:tcPr>
            <w:tcW w:w="833" w:type="pct"/>
          </w:tcPr>
          <w:p w14:paraId="7D2DD5C4" w14:textId="02018079"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8.4</w:t>
            </w:r>
          </w:p>
        </w:tc>
        <w:tc>
          <w:tcPr>
            <w:tcW w:w="833" w:type="pct"/>
          </w:tcPr>
          <w:p w14:paraId="626EB983" w14:textId="65C7FC03"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5.5</w:t>
            </w:r>
          </w:p>
        </w:tc>
        <w:tc>
          <w:tcPr>
            <w:tcW w:w="833" w:type="pct"/>
          </w:tcPr>
          <w:p w14:paraId="4CCFB36D" w14:textId="2CE6981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1.8</w:t>
            </w:r>
          </w:p>
        </w:tc>
        <w:tc>
          <w:tcPr>
            <w:tcW w:w="833" w:type="pct"/>
          </w:tcPr>
          <w:p w14:paraId="57233875" w14:textId="5B0FA83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0.0</w:t>
            </w:r>
          </w:p>
        </w:tc>
      </w:tr>
      <w:tr w:rsidR="00BB6B51" w14:paraId="0BB111C2" w14:textId="77777777" w:rsidTr="00827E28">
        <w:tc>
          <w:tcPr>
            <w:cnfStyle w:val="001000000000" w:firstRow="0" w:lastRow="0" w:firstColumn="1" w:lastColumn="0" w:oddVBand="0" w:evenVBand="0" w:oddHBand="0" w:evenHBand="0" w:firstRowFirstColumn="0" w:firstRowLastColumn="0" w:lastRowFirstColumn="0" w:lastRowLastColumn="0"/>
            <w:tcW w:w="834" w:type="pct"/>
          </w:tcPr>
          <w:p w14:paraId="03C14144" w14:textId="4B9E0C3A" w:rsidR="00BB6B51" w:rsidRPr="00827E28" w:rsidRDefault="00BB6B51" w:rsidP="00BB6B51">
            <w:pPr>
              <w:pStyle w:val="Tablecopy"/>
              <w:rPr>
                <w:b w:val="0"/>
                <w:bCs/>
              </w:rPr>
            </w:pPr>
            <w:r w:rsidRPr="00827E28">
              <w:rPr>
                <w:b w:val="0"/>
                <w:bCs/>
              </w:rPr>
              <w:t xml:space="preserve">Cash </w:t>
            </w:r>
          </w:p>
        </w:tc>
        <w:tc>
          <w:tcPr>
            <w:tcW w:w="834" w:type="pct"/>
          </w:tcPr>
          <w:p w14:paraId="27F1871A" w14:textId="72C47687"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ED347F">
              <w:t>7.6</w:t>
            </w:r>
          </w:p>
        </w:tc>
        <w:tc>
          <w:tcPr>
            <w:tcW w:w="833" w:type="pct"/>
          </w:tcPr>
          <w:p w14:paraId="77D8A92A" w14:textId="0EAA58A8"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D40A02">
              <w:t>6.8</w:t>
            </w:r>
          </w:p>
        </w:tc>
        <w:tc>
          <w:tcPr>
            <w:tcW w:w="833" w:type="pct"/>
          </w:tcPr>
          <w:p w14:paraId="4DDE9D5A" w14:textId="441BFDA5"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4724B7">
              <w:t>4.1</w:t>
            </w:r>
          </w:p>
        </w:tc>
        <w:tc>
          <w:tcPr>
            <w:tcW w:w="833" w:type="pct"/>
          </w:tcPr>
          <w:p w14:paraId="70477184" w14:textId="25666701"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545153">
              <w:t>3.5</w:t>
            </w:r>
          </w:p>
        </w:tc>
        <w:tc>
          <w:tcPr>
            <w:tcW w:w="833" w:type="pct"/>
          </w:tcPr>
          <w:p w14:paraId="7FDABD66" w14:textId="02B6076D" w:rsidR="00BB6B51" w:rsidRPr="009337C3" w:rsidRDefault="00BB6B51" w:rsidP="00BB6B51">
            <w:pPr>
              <w:pStyle w:val="Tablecopy"/>
              <w:jc w:val="center"/>
              <w:cnfStyle w:val="000000000000" w:firstRow="0" w:lastRow="0" w:firstColumn="0" w:lastColumn="0" w:oddVBand="0" w:evenVBand="0" w:oddHBand="0" w:evenHBand="0" w:firstRowFirstColumn="0" w:firstRowLastColumn="0" w:lastRowFirstColumn="0" w:lastRowLastColumn="0"/>
              <w:rPr>
                <w:bCs/>
              </w:rPr>
            </w:pPr>
            <w:r w:rsidRPr="00B248A4">
              <w:t>2.2</w:t>
            </w:r>
          </w:p>
        </w:tc>
      </w:tr>
    </w:tbl>
    <w:p w14:paraId="25D9C906" w14:textId="77777777" w:rsidR="00BB6B51" w:rsidRDefault="00BB6B51" w:rsidP="00BB6B51">
      <w:pPr>
        <w:pStyle w:val="Heading1"/>
      </w:pPr>
      <w:r>
        <w:t>Effective date</w:t>
      </w:r>
    </w:p>
    <w:p w14:paraId="2F01C4CC" w14:textId="77777777" w:rsidR="00BB6B51" w:rsidRDefault="00BB6B51" w:rsidP="00BB6B51">
      <w:pPr>
        <w:pStyle w:val="Bodycopy"/>
      </w:pPr>
      <w:r>
        <w:t>These changes were completed during the final week of July 2024.</w:t>
      </w:r>
    </w:p>
    <w:p w14:paraId="5994B120" w14:textId="77777777" w:rsidR="00BB6B51" w:rsidRDefault="00BB6B51" w:rsidP="00BB6B51">
      <w:pPr>
        <w:pStyle w:val="Heading1"/>
      </w:pPr>
      <w:r>
        <w:t>Looking ahead</w:t>
      </w:r>
    </w:p>
    <w:p w14:paraId="385C0C3D" w14:textId="77777777" w:rsidR="00BB6B51" w:rsidRDefault="00BB6B51" w:rsidP="00BB6B51">
      <w:pPr>
        <w:pStyle w:val="Bodycopy"/>
      </w:pPr>
      <w:r>
        <w:t xml:space="preserve">Markets have faced multiple concerns over the past 12 to 24 months. In particular, higher inflation driven by post-COVID economic </w:t>
      </w:r>
      <w:proofErr w:type="gramStart"/>
      <w:r>
        <w:t>abnormalities</w:t>
      </w:r>
      <w:proofErr w:type="gramEnd"/>
      <w:r>
        <w:t xml:space="preserve"> and several major geopolitical events saw central banks aggressively raise interest rates, which led to a material increase in market volatility. Despite these concerns, the US economy has to date proven remarkably resilient, and markets are pricing in a ‘soft landing’ as inflationary pressures continue to </w:t>
      </w:r>
      <w:proofErr w:type="gramStart"/>
      <w:r>
        <w:t>ease</w:t>
      </w:r>
      <w:proofErr w:type="gramEnd"/>
      <w:r>
        <w:t xml:space="preserve"> and unemployment remains low. This has contributed to strong equity and credit market returns so far this year, with valuations now appearing stretched.</w:t>
      </w:r>
    </w:p>
    <w:p w14:paraId="3E4E646A" w14:textId="77777777" w:rsidR="00BB6B51" w:rsidRDefault="00BB6B51" w:rsidP="00BB6B51">
      <w:pPr>
        <w:pStyle w:val="Bodycopy"/>
      </w:pPr>
      <w:r>
        <w:t>If equity markets continue to rally, we may continue to trim risk assets and increase defensive assets. Opportunities may also arise if markets react more negatively to potential recession outcomes.</w:t>
      </w:r>
    </w:p>
    <w:p w14:paraId="606F11B2" w14:textId="77777777" w:rsidR="00BB6B51" w:rsidRDefault="00BB6B51" w:rsidP="00BB6B51">
      <w:pPr>
        <w:pStyle w:val="Bodycopy"/>
      </w:pPr>
      <w:r>
        <w:t>Moving forward, it’s important to remember that whilst we cannot control what markets do, we can control how we react to them. The Portfolios have been constructed to respond to changing market dynamics in real time, to effectively manage risk and to take advantage of market opportunities as they arise.</w:t>
      </w:r>
    </w:p>
    <w:p w14:paraId="0E8C798D" w14:textId="2006B5AE" w:rsidR="00BB6B51" w:rsidRDefault="00BB6B51" w:rsidP="00BB6B51">
      <w:pPr>
        <w:pStyle w:val="Bodycopy"/>
      </w:pPr>
      <w:r>
        <w:t>Moreover, we are committed to achieving long-term outperformance for investors and remain both patient and alert to any investment opportunities.</w:t>
      </w:r>
    </w:p>
    <w:p w14:paraId="65A673B7" w14:textId="77777777" w:rsidR="00BB6B51" w:rsidRDefault="00BB6B51">
      <w:pPr>
        <w:spacing w:after="0"/>
        <w:rPr>
          <w:rFonts w:asciiTheme="majorHAnsi" w:eastAsia="Calibri" w:hAnsiTheme="majorHAnsi" w:cs="Times New Roman"/>
          <w:caps/>
          <w:noProof/>
          <w:color w:val="auto"/>
          <w:spacing w:val="-4"/>
          <w:sz w:val="36"/>
          <w:szCs w:val="18"/>
        </w:rPr>
      </w:pPr>
      <w:bookmarkStart w:id="0" w:name="_Hlk86845230"/>
      <w:bookmarkStart w:id="1" w:name="_Hlk90280984"/>
      <w:bookmarkStart w:id="2" w:name="_Hlk92106589"/>
      <w:bookmarkStart w:id="3" w:name="_Hlk122960407"/>
      <w:r>
        <w:br w:type="page"/>
      </w:r>
    </w:p>
    <w:p w14:paraId="2D853725" w14:textId="00DE27B8" w:rsidR="00E213D5" w:rsidRPr="00AC68ED" w:rsidRDefault="00E11576" w:rsidP="00AC68ED">
      <w:pPr>
        <w:pStyle w:val="Questions"/>
      </w:pPr>
      <w:r w:rsidRPr="00AC68ED">
        <w:lastRenderedPageBreak/>
        <w:t>Questions?</w:t>
      </w:r>
    </w:p>
    <w:p w14:paraId="6AA164EC" w14:textId="7660334D" w:rsidR="00E213D5" w:rsidRPr="00AC68ED" w:rsidRDefault="00BB6B51" w:rsidP="00AC68ED">
      <w:pPr>
        <w:pStyle w:val="Calltoaction"/>
      </w:pPr>
      <w:bookmarkStart w:id="4" w:name="_Hlk86845863"/>
      <w:bookmarkStart w:id="5" w:name="_Hlk92105723"/>
      <w:r>
        <w:t>V</w:t>
      </w:r>
      <w:r w:rsidR="00E213D5" w:rsidRPr="00AC68ED">
        <w:t xml:space="preserve">isit </w:t>
      </w:r>
      <w:hyperlink r:id="rId11" w:history="1">
        <w:r w:rsidR="00E213D5" w:rsidRPr="001A15A6">
          <w:rPr>
            <w:rStyle w:val="CalltoactionURLCHAR"/>
          </w:rPr>
          <w:t>russellinvestments.com</w:t>
        </w:r>
      </w:hyperlink>
      <w:r>
        <w:rPr>
          <w:rStyle w:val="CalltoactionURLCHAR"/>
        </w:rPr>
        <w:t>.au</w:t>
      </w:r>
    </w:p>
    <w:bookmarkEnd w:id="0"/>
    <w:bookmarkEnd w:id="1"/>
    <w:bookmarkEnd w:id="2"/>
    <w:bookmarkEnd w:id="4"/>
    <w:bookmarkEnd w:id="5"/>
    <w:p w14:paraId="4CA9B3CF" w14:textId="77777777" w:rsidR="00291BA6" w:rsidRDefault="00291BA6" w:rsidP="00291BA6">
      <w:pPr>
        <w:pStyle w:val="AboutRussell"/>
      </w:pPr>
      <w:r>
        <w:t>About Russell Investments</w:t>
      </w:r>
    </w:p>
    <w:p w14:paraId="2563F2A1" w14:textId="77777777" w:rsidR="00291BA6" w:rsidRDefault="00142DC8" w:rsidP="00291BA6">
      <w:pPr>
        <w:pStyle w:val="Back-bodycopy"/>
      </w:pPr>
      <w:r w:rsidRPr="00142DC8">
        <w:t xml:space="preserve">Russell Investments is a leading global investment solutions partner providing a wide range of investment capabilities to institutional investors, financial intermediaries, and individual investors around the world. Since 1936, Russell Investments has been building a legacy of continuous innovation to deliver exceptional value to clients, working every day to improve people’s financial security. Headquartered in Seattle, Washington, Russell Investments has offices worldwide, including </w:t>
      </w:r>
      <w:r w:rsidR="005F5239" w:rsidRPr="005F5239">
        <w:t>Dubai, London, New York, Paris, Shanghai, Sydney, Tokyo, and Toronto</w:t>
      </w:r>
      <w:r w:rsidRPr="00142DC8">
        <w:t>.</w:t>
      </w:r>
    </w:p>
    <w:p w14:paraId="065FC995" w14:textId="77777777" w:rsidR="004A014D" w:rsidRDefault="004A014D" w:rsidP="00291BA6">
      <w:pPr>
        <w:pStyle w:val="Back-bodycopy"/>
      </w:pPr>
    </w:p>
    <w:p w14:paraId="23C50A5C" w14:textId="77777777" w:rsidR="005F5239" w:rsidRDefault="005F5239" w:rsidP="00291BA6">
      <w:pPr>
        <w:pStyle w:val="Back-bodycopy"/>
      </w:pPr>
    </w:p>
    <w:p w14:paraId="592B2BDC" w14:textId="77777777" w:rsidR="004A014D" w:rsidRDefault="004A014D" w:rsidP="00291BA6">
      <w:pPr>
        <w:pStyle w:val="Back-bodycopy"/>
      </w:pPr>
    </w:p>
    <w:p w14:paraId="683E78DA" w14:textId="77777777" w:rsidR="004A014D" w:rsidRDefault="004A014D" w:rsidP="00291BA6">
      <w:pPr>
        <w:pStyle w:val="Back-bodycopy"/>
      </w:pPr>
    </w:p>
    <w:p w14:paraId="3FAF2C8B" w14:textId="77777777" w:rsidR="004A014D" w:rsidRDefault="004A014D" w:rsidP="00291BA6">
      <w:pPr>
        <w:pStyle w:val="Back-bodycopy"/>
      </w:pPr>
    </w:p>
    <w:p w14:paraId="3E4CB92C" w14:textId="77777777" w:rsidR="004A014D" w:rsidRDefault="004A014D" w:rsidP="00291BA6">
      <w:pPr>
        <w:pStyle w:val="Back-bodycopy"/>
      </w:pPr>
    </w:p>
    <w:p w14:paraId="20689D4F" w14:textId="77777777" w:rsidR="004A014D" w:rsidRDefault="004A014D" w:rsidP="00291BA6">
      <w:pPr>
        <w:pStyle w:val="Back-bodycopy"/>
      </w:pPr>
    </w:p>
    <w:p w14:paraId="6867AEBF" w14:textId="77777777" w:rsidR="004A014D" w:rsidRDefault="004A014D" w:rsidP="00291BA6">
      <w:pPr>
        <w:pStyle w:val="Back-bodycopy"/>
      </w:pPr>
    </w:p>
    <w:p w14:paraId="6CA7C76D" w14:textId="77777777" w:rsidR="002F776E" w:rsidRDefault="002F776E" w:rsidP="00D80C9D">
      <w:pPr>
        <w:pStyle w:val="Back-disclosures"/>
      </w:pPr>
    </w:p>
    <w:p w14:paraId="7B9A8BF7" w14:textId="77777777" w:rsidR="004A014D" w:rsidRDefault="004A014D" w:rsidP="00291BA6">
      <w:pPr>
        <w:pStyle w:val="Back-bodycopy"/>
      </w:pPr>
    </w:p>
    <w:p w14:paraId="72F88E2B" w14:textId="77777777" w:rsidR="004A014D" w:rsidRDefault="004A014D" w:rsidP="00291BA6">
      <w:pPr>
        <w:pStyle w:val="Back-bodycopy"/>
      </w:pPr>
    </w:p>
    <w:p w14:paraId="4473092C" w14:textId="77777777" w:rsidR="004A014D" w:rsidRDefault="004A014D" w:rsidP="00291BA6">
      <w:pPr>
        <w:pStyle w:val="Back-bodycopy"/>
      </w:pPr>
    </w:p>
    <w:p w14:paraId="0C33B913" w14:textId="77777777" w:rsidR="004A014D" w:rsidRDefault="004A014D" w:rsidP="00291BA6">
      <w:pPr>
        <w:pStyle w:val="Back-bodycopy"/>
      </w:pPr>
    </w:p>
    <w:p w14:paraId="374FCA72" w14:textId="77777777" w:rsidR="004A014D" w:rsidRDefault="004A014D" w:rsidP="00291BA6">
      <w:pPr>
        <w:pStyle w:val="Back-bodycopy"/>
      </w:pPr>
    </w:p>
    <w:p w14:paraId="0B164844" w14:textId="77777777" w:rsidR="004A014D" w:rsidRDefault="004A014D" w:rsidP="00291BA6">
      <w:pPr>
        <w:pStyle w:val="Back-bodycopy"/>
      </w:pPr>
    </w:p>
    <w:p w14:paraId="70DF0BCD" w14:textId="77777777" w:rsidR="004A014D" w:rsidRDefault="004A014D" w:rsidP="00291BA6">
      <w:pPr>
        <w:pStyle w:val="Back-bodycopy"/>
      </w:pPr>
    </w:p>
    <w:p w14:paraId="37D4B308" w14:textId="77777777" w:rsidR="002F776E" w:rsidRDefault="002F776E" w:rsidP="00291BA6">
      <w:pPr>
        <w:pStyle w:val="Back-bodycopy"/>
      </w:pPr>
    </w:p>
    <w:p w14:paraId="75E5019C" w14:textId="77777777" w:rsidR="002F776E" w:rsidRDefault="002F776E" w:rsidP="00291BA6">
      <w:pPr>
        <w:pStyle w:val="Back-bodycopy"/>
      </w:pPr>
    </w:p>
    <w:p w14:paraId="6D7BB75A" w14:textId="77777777" w:rsidR="002F776E" w:rsidRDefault="002F776E" w:rsidP="00291BA6">
      <w:pPr>
        <w:pStyle w:val="Back-bodycopy"/>
      </w:pPr>
    </w:p>
    <w:p w14:paraId="3E35F74C" w14:textId="77777777" w:rsidR="002F776E" w:rsidRDefault="002F776E" w:rsidP="00291BA6">
      <w:pPr>
        <w:pStyle w:val="Back-bodycopy"/>
      </w:pPr>
    </w:p>
    <w:p w14:paraId="375D0556" w14:textId="77777777" w:rsidR="002F776E" w:rsidRDefault="002F776E" w:rsidP="00291BA6">
      <w:pPr>
        <w:pStyle w:val="Back-bodycopy"/>
      </w:pPr>
    </w:p>
    <w:p w14:paraId="06A28F35" w14:textId="77777777" w:rsidR="002F776E" w:rsidRDefault="002F776E" w:rsidP="00291BA6">
      <w:pPr>
        <w:pStyle w:val="Back-bodycopy"/>
      </w:pPr>
    </w:p>
    <w:p w14:paraId="255CAB5D" w14:textId="77777777" w:rsidR="00D80C9D" w:rsidRDefault="00D80C9D" w:rsidP="00291BA6">
      <w:pPr>
        <w:pStyle w:val="Back-bodycopy"/>
      </w:pPr>
    </w:p>
    <w:p w14:paraId="2889334D" w14:textId="77777777" w:rsidR="00BB6B51" w:rsidRDefault="00BB6B51" w:rsidP="00291BA6">
      <w:pPr>
        <w:pStyle w:val="Back-bodycopy"/>
      </w:pPr>
    </w:p>
    <w:p w14:paraId="6F26D0B8" w14:textId="77777777" w:rsidR="00D80C9D" w:rsidRDefault="00D80C9D" w:rsidP="00291BA6">
      <w:pPr>
        <w:pStyle w:val="Back-bodycopy"/>
      </w:pPr>
    </w:p>
    <w:p w14:paraId="385CF5D0" w14:textId="77777777" w:rsidR="00BB6B51" w:rsidRDefault="00BB6B51" w:rsidP="00291BA6">
      <w:pPr>
        <w:pStyle w:val="Back-bodycopy"/>
      </w:pPr>
    </w:p>
    <w:p w14:paraId="2BCD1C19" w14:textId="77777777" w:rsidR="00BB6B51" w:rsidRDefault="00BB6B51" w:rsidP="00291BA6">
      <w:pPr>
        <w:pStyle w:val="Back-bodycopy"/>
      </w:pPr>
    </w:p>
    <w:p w14:paraId="18E0CD0D" w14:textId="77777777" w:rsidR="00BB6B51" w:rsidRDefault="00BB6B51" w:rsidP="00D80C9D">
      <w:pPr>
        <w:pStyle w:val="ImportantInformation"/>
      </w:pPr>
    </w:p>
    <w:p w14:paraId="123792EC" w14:textId="77777777" w:rsidR="00BB6B51" w:rsidRDefault="00BB6B51" w:rsidP="00D80C9D">
      <w:pPr>
        <w:pStyle w:val="ImportantInformation"/>
      </w:pPr>
    </w:p>
    <w:p w14:paraId="6196829E" w14:textId="77777777" w:rsidR="00BB6B51" w:rsidRDefault="00BB6B51" w:rsidP="00D80C9D">
      <w:pPr>
        <w:pStyle w:val="ImportantInformation"/>
      </w:pPr>
    </w:p>
    <w:p w14:paraId="3F221D0D" w14:textId="661DC9ED" w:rsidR="00D80C9D" w:rsidRDefault="002F776E" w:rsidP="00D80C9D">
      <w:pPr>
        <w:pStyle w:val="ImportantInformation"/>
      </w:pPr>
      <w:r>
        <w:drawing>
          <wp:anchor distT="0" distB="0" distL="114300" distR="114300" simplePos="0" relativeHeight="251705344" behindDoc="0" locked="1" layoutInCell="1" allowOverlap="1" wp14:anchorId="3421ACA7" wp14:editId="0AE95A90">
            <wp:simplePos x="0" y="0"/>
            <wp:positionH relativeFrom="page">
              <wp:align>left</wp:align>
            </wp:positionH>
            <wp:positionV relativeFrom="page">
              <wp:align>bottom</wp:align>
            </wp:positionV>
            <wp:extent cx="7561580" cy="9144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562088" cy="914400"/>
                    </a:xfrm>
                    <a:prstGeom prst="rect">
                      <a:avLst/>
                    </a:prstGeom>
                  </pic:spPr>
                </pic:pic>
              </a:graphicData>
            </a:graphic>
            <wp14:sizeRelH relativeFrom="margin">
              <wp14:pctWidth>0</wp14:pctWidth>
            </wp14:sizeRelH>
            <wp14:sizeRelV relativeFrom="margin">
              <wp14:pctHeight>0</wp14:pctHeight>
            </wp14:sizeRelV>
          </wp:anchor>
        </w:drawing>
      </w:r>
      <w:r w:rsidR="00BB6B51">
        <w:t>important information</w:t>
      </w:r>
    </w:p>
    <w:bookmarkEnd w:id="3"/>
    <w:p w14:paraId="76E66A6F" w14:textId="77777777" w:rsidR="00BB6B51" w:rsidRDefault="00BB6B51" w:rsidP="00BB6B51">
      <w:pPr>
        <w:pStyle w:val="Back-disclosures"/>
      </w:pPr>
      <w:r>
        <w:t xml:space="preserve">Issued by Russell Investment Management Ltd ABN 53 068 338 974, AFSL 247185 (RIM). This document contains </w:t>
      </w:r>
      <w:proofErr w:type="gramStart"/>
      <w:r>
        <w:t>factual information</w:t>
      </w:r>
      <w:proofErr w:type="gramEnd"/>
      <w:r>
        <w:t xml:space="preserve"> only about the Russell Investments Managed Portfolios. The information is not intended to imply any recommendation or opinion about a financial product. RIM is not providing financial product advice and you should consider obtaining independent advice before making any financial decisions. This information has been compiled from sources considered to be reliable but is not guaranteed.  </w:t>
      </w:r>
    </w:p>
    <w:p w14:paraId="008E2E92" w14:textId="77777777" w:rsidR="00BB6B51" w:rsidRDefault="00BB6B51" w:rsidP="00BB6B51">
      <w:pPr>
        <w:pStyle w:val="Back-disclosures"/>
      </w:pPr>
      <w:r>
        <w:t xml:space="preserve">RIM is part of Russell Investments. RIM is the issuer of the Russell Investments Funds and Russell Investments ETFs mentioned in this document. Russell Investments or its associates, officers or employees may have interests in the financial products referred to in this information by acting in various roles including broker or adviser, and may receive fees, brokerage or commissions for acting in these capacities. In addition, Russell Investments or its associates, officers or employees may buy or sell the financial products as principal or agent. </w:t>
      </w:r>
    </w:p>
    <w:p w14:paraId="699D4F75" w14:textId="77777777" w:rsidR="00BB6B51" w:rsidRDefault="00BB6B51" w:rsidP="00BB6B51">
      <w:pPr>
        <w:pStyle w:val="Back-disclosures"/>
      </w:pPr>
      <w:r>
        <w:t xml:space="preserve">To the extent permitted by law, no liability is accepted for any loss or damage </w:t>
      </w:r>
      <w:proofErr w:type="gramStart"/>
      <w:r>
        <w:t>as a result of</w:t>
      </w:r>
      <w:proofErr w:type="gramEnd"/>
      <w:r>
        <w:t xml:space="preserve"> reliance on this information.</w:t>
      </w:r>
    </w:p>
    <w:p w14:paraId="52FE3317" w14:textId="77777777" w:rsidR="00BB6B51" w:rsidRDefault="00BB6B51" w:rsidP="00BB6B51">
      <w:pPr>
        <w:pStyle w:val="Back-disclosures"/>
      </w:pPr>
      <w:r>
        <w:t xml:space="preserve">This material does not constitute professional advice or opinion and is not intended to be used as the basis for making an investment decision. </w:t>
      </w:r>
    </w:p>
    <w:p w14:paraId="08BC77B3" w14:textId="7CFADAC2" w:rsidR="002F776E" w:rsidRDefault="00BB6B51" w:rsidP="00BB6B51">
      <w:pPr>
        <w:pStyle w:val="Back-disclosures"/>
      </w:pPr>
      <w:r>
        <w:t>This work is copyright 2024. Apart from any use permitted under the Copyright Act 1968, no part may be reproduced by any process, nor may any other exclusive right be exercised, without the permission of Russell Investment Management Ltd.</w:t>
      </w:r>
    </w:p>
    <w:sectPr w:rsidR="002F776E" w:rsidSect="002F776E">
      <w:headerReference w:type="default" r:id="rId13"/>
      <w:footerReference w:type="default" r:id="rId14"/>
      <w:headerReference w:type="first" r:id="rId15"/>
      <w:footerReference w:type="first" r:id="rId16"/>
      <w:type w:val="continuous"/>
      <w:pgSz w:w="11906" w:h="16838" w:code="9"/>
      <w:pgMar w:top="992" w:right="794" w:bottom="1440" w:left="794"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40FA" w14:textId="77777777" w:rsidR="00F50721" w:rsidRPr="00C458F0" w:rsidRDefault="00F50721">
      <w:pPr>
        <w:spacing w:after="0"/>
        <w:rPr>
          <w:color w:val="005596" w:themeColor="accent4"/>
        </w:rPr>
      </w:pPr>
      <w:r w:rsidRPr="00C458F0">
        <w:rPr>
          <w:color w:val="005596" w:themeColor="accent4"/>
        </w:rPr>
        <w:separator/>
      </w:r>
    </w:p>
  </w:endnote>
  <w:endnote w:type="continuationSeparator" w:id="0">
    <w:p w14:paraId="2659940D" w14:textId="77777777" w:rsidR="00F50721" w:rsidRPr="00C458F0" w:rsidRDefault="00F50721">
      <w:pPr>
        <w:spacing w:after="0"/>
        <w:rPr>
          <w:color w:val="005596" w:themeColor="accent4"/>
        </w:rPr>
      </w:pPr>
      <w:r w:rsidRPr="00C458F0">
        <w:rPr>
          <w:color w:val="005596" w:themeColor="accent4"/>
        </w:rPr>
        <w:continuationSeparator/>
      </w:r>
    </w:p>
  </w:endnote>
  <w:endnote w:type="continuationNotice" w:id="1">
    <w:p w14:paraId="48618427" w14:textId="77777777" w:rsidR="00F50721" w:rsidRPr="00C458F0" w:rsidRDefault="00F50721">
      <w:pPr>
        <w:spacing w:after="0"/>
        <w:rPr>
          <w:color w:val="005596" w:themeColor="accent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AC8A" w14:textId="57CF816C" w:rsidR="002F776E" w:rsidRPr="002F776E" w:rsidRDefault="002F776E" w:rsidP="002F776E">
    <w:pPr>
      <w:pStyle w:val="Footer"/>
      <w:tabs>
        <w:tab w:val="clear" w:pos="10620"/>
        <w:tab w:val="right" w:pos="10348"/>
      </w:tabs>
      <w:ind w:right="-32"/>
    </w:pPr>
    <w:r>
      <w:rPr>
        <w:b/>
      </w:rPr>
      <w:t>Russell Investments</w:t>
    </w:r>
    <w:r>
      <w:t xml:space="preserve"> / </w:t>
    </w:r>
    <w:r w:rsidR="00BB6B51">
      <w:t>Sustainable managed portfolios</w:t>
    </w:r>
    <w:r w:rsidR="00846135">
      <w:t xml:space="preserve"> – portfolio changes</w:t>
    </w:r>
    <w:r>
      <w:tab/>
    </w:r>
    <w:r w:rsidR="00BB6B51">
      <w:t xml:space="preserve">FOR FINANCIAL PROFESSIONAL USE ONLY </w:t>
    </w:r>
    <w:r>
      <w:t xml:space="preserve">/ </w:t>
    </w: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771E" w14:textId="77777777" w:rsidR="002327B5" w:rsidRDefault="002327B5">
    <w:pPr>
      <w:pStyle w:val="Footer"/>
    </w:pPr>
    <w:r>
      <w:rPr>
        <w:noProof/>
      </w:rPr>
      <w:drawing>
        <wp:anchor distT="0" distB="0" distL="114300" distR="114300" simplePos="0" relativeHeight="251662336" behindDoc="0" locked="1" layoutInCell="1" allowOverlap="1" wp14:anchorId="3A52230E" wp14:editId="7C17B11D">
          <wp:simplePos x="0" y="0"/>
          <wp:positionH relativeFrom="page">
            <wp:posOffset>0</wp:posOffset>
          </wp:positionH>
          <wp:positionV relativeFrom="bottomMargin">
            <wp:posOffset>217170</wp:posOffset>
          </wp:positionV>
          <wp:extent cx="7561580" cy="913765"/>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1580" cy="913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0A812" w14:textId="77777777" w:rsidR="00F50721" w:rsidRPr="00C458F0" w:rsidRDefault="00F50721">
      <w:pPr>
        <w:spacing w:after="0"/>
        <w:rPr>
          <w:color w:val="005596" w:themeColor="accent4"/>
        </w:rPr>
      </w:pPr>
      <w:r w:rsidRPr="00C458F0">
        <w:rPr>
          <w:color w:val="005596" w:themeColor="accent4"/>
        </w:rPr>
        <w:separator/>
      </w:r>
    </w:p>
  </w:footnote>
  <w:footnote w:type="continuationSeparator" w:id="0">
    <w:p w14:paraId="38AFE1B3" w14:textId="77777777" w:rsidR="00F50721" w:rsidRPr="00C458F0" w:rsidRDefault="00F50721">
      <w:pPr>
        <w:spacing w:after="0"/>
        <w:rPr>
          <w:color w:val="005596" w:themeColor="accent4"/>
        </w:rPr>
      </w:pPr>
      <w:r w:rsidRPr="00C458F0">
        <w:rPr>
          <w:color w:val="005596" w:themeColor="accent4"/>
        </w:rPr>
        <w:continuationSeparator/>
      </w:r>
    </w:p>
  </w:footnote>
  <w:footnote w:type="continuationNotice" w:id="1">
    <w:p w14:paraId="15AAA2F4" w14:textId="77777777" w:rsidR="00F50721" w:rsidRPr="00C458F0" w:rsidRDefault="00F50721">
      <w:pPr>
        <w:spacing w:after="0"/>
        <w:rPr>
          <w:color w:val="005596" w:themeColor="accent4"/>
        </w:rPr>
      </w:pPr>
    </w:p>
  </w:footnote>
  <w:footnote w:id="2">
    <w:p w14:paraId="15737F9A" w14:textId="7C199B04" w:rsidR="00C5126B" w:rsidRPr="00C5126B" w:rsidRDefault="00C5126B" w:rsidP="00C5126B">
      <w:pPr>
        <w:pStyle w:val="FootnoteText"/>
        <w:ind w:right="112"/>
        <w:rPr>
          <w:lang w:val="en-AU"/>
        </w:rPr>
      </w:pPr>
      <w:r>
        <w:rPr>
          <w:rStyle w:val="FootnoteReference"/>
        </w:rPr>
        <w:footnoteRef/>
      </w:r>
      <w:r>
        <w:t xml:space="preserve"> </w:t>
      </w:r>
      <w:r w:rsidRPr="00C5126B">
        <w:t>A-REITs measured by the S&amp;P/ASX 300 A-REIT Index. G-REITs measured by the FTSE EPRA Nareit Developed Index Net TRI – $A Hedged. Australian shares measured by the S&amp;P/ASX 100 Index.</w:t>
      </w:r>
    </w:p>
  </w:footnote>
  <w:footnote w:id="3">
    <w:p w14:paraId="2BC090FF" w14:textId="4C4076A7" w:rsidR="00827E28" w:rsidRPr="00827E28" w:rsidRDefault="00827E28">
      <w:pPr>
        <w:pStyle w:val="FootnoteText"/>
        <w:rPr>
          <w:lang w:val="en-AU"/>
        </w:rPr>
      </w:pPr>
      <w:r>
        <w:rPr>
          <w:rStyle w:val="FootnoteReference"/>
        </w:rPr>
        <w:footnoteRef/>
      </w:r>
      <w:r>
        <w:t xml:space="preserve"> </w:t>
      </w:r>
      <w:r w:rsidRPr="00827E28">
        <w:t>Asset class breakdown is based on the model and may vary slightly depending on the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317A" w14:textId="77777777" w:rsidR="002F776E" w:rsidRDefault="002F776E" w:rsidP="002F776E">
    <w:pPr>
      <w:pStyle w:val="Header"/>
      <w:ind w:right="-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BABD" w14:textId="77777777" w:rsidR="002327B5" w:rsidRDefault="002327B5" w:rsidP="002327B5">
    <w:pPr>
      <w:pStyle w:val="Header"/>
      <w:pBdr>
        <w:top w:val="none" w:sz="0" w:space="0" w:color="auto"/>
      </w:pBdr>
    </w:pPr>
    <w:r>
      <w:rPr>
        <w:noProof/>
        <w:sz w:val="8"/>
      </w:rPr>
      <w:drawing>
        <wp:anchor distT="0" distB="0" distL="114300" distR="114300" simplePos="0" relativeHeight="251659264" behindDoc="1" locked="1" layoutInCell="1" allowOverlap="1" wp14:anchorId="50771FEF" wp14:editId="0510F4B6">
          <wp:simplePos x="0" y="0"/>
          <wp:positionH relativeFrom="page">
            <wp:posOffset>-12700</wp:posOffset>
          </wp:positionH>
          <wp:positionV relativeFrom="page">
            <wp:posOffset>1758315</wp:posOffset>
          </wp:positionV>
          <wp:extent cx="7772400" cy="120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5876" b="15876"/>
                  <a:stretch>
                    <a:fillRect/>
                  </a:stretch>
                </pic:blipFill>
                <pic:spPr bwMode="auto">
                  <a:xfrm>
                    <a:off x="0" y="0"/>
                    <a:ext cx="7772400" cy="12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76889845" wp14:editId="71468B12">
          <wp:simplePos x="0" y="0"/>
          <wp:positionH relativeFrom="page">
            <wp:posOffset>4740910</wp:posOffset>
          </wp:positionH>
          <wp:positionV relativeFrom="page">
            <wp:posOffset>608330</wp:posOffset>
          </wp:positionV>
          <wp:extent cx="1920240" cy="4387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20240" cy="438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FA3C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2AF5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F82B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B8F2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8633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8E4E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80C9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CA18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62E2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2A2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0FA"/>
    <w:multiLevelType w:val="hybridMultilevel"/>
    <w:tmpl w:val="342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E41FF"/>
    <w:multiLevelType w:val="multilevel"/>
    <w:tmpl w:val="1FDE0F3E"/>
    <w:numStyleLink w:val="Alphanumericlist"/>
  </w:abstractNum>
  <w:abstractNum w:abstractNumId="12" w15:restartNumberingAfterBreak="0">
    <w:nsid w:val="067B3E12"/>
    <w:multiLevelType w:val="multilevel"/>
    <w:tmpl w:val="0409001F"/>
    <w:numStyleLink w:val="Decimaloutline"/>
  </w:abstractNum>
  <w:abstractNum w:abstractNumId="13" w15:restartNumberingAfterBreak="0">
    <w:nsid w:val="0BE2061D"/>
    <w:multiLevelType w:val="multilevel"/>
    <w:tmpl w:val="1FDE0F3E"/>
    <w:numStyleLink w:val="Alphanumericlist"/>
  </w:abstractNum>
  <w:abstractNum w:abstractNumId="14" w15:restartNumberingAfterBreak="0">
    <w:nsid w:val="0EC83C8B"/>
    <w:multiLevelType w:val="multilevel"/>
    <w:tmpl w:val="66F67258"/>
    <w:numStyleLink w:val="ResearchTemplatenumericlist"/>
  </w:abstractNum>
  <w:abstractNum w:abstractNumId="15" w15:restartNumberingAfterBreak="0">
    <w:nsid w:val="12C94FA5"/>
    <w:multiLevelType w:val="multilevel"/>
    <w:tmpl w:val="0409001F"/>
    <w:styleLink w:val="Decimaloutlin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105D6E"/>
    <w:multiLevelType w:val="multilevel"/>
    <w:tmpl w:val="1FDE0F3E"/>
    <w:numStyleLink w:val="Alphanumericlist"/>
  </w:abstractNum>
  <w:abstractNum w:abstractNumId="17" w15:restartNumberingAfterBreak="0">
    <w:nsid w:val="18250A1B"/>
    <w:multiLevelType w:val="multilevel"/>
    <w:tmpl w:val="88F6AD52"/>
    <w:styleLink w:val="Bulletsymbols"/>
    <w:lvl w:ilvl="0">
      <w:start w:val="1"/>
      <w:numFmt w:val="bullet"/>
      <w:lvlText w:val=""/>
      <w:lvlJc w:val="left"/>
      <w:pPr>
        <w:ind w:left="360" w:hanging="360"/>
      </w:pPr>
      <w:rPr>
        <w:rFonts w:ascii="Symbol" w:hAnsi="Symbol"/>
        <w:color w:val="005596" w:themeColor="accent4"/>
        <w:position w:val="2"/>
        <w:sz w:val="18"/>
      </w:rPr>
    </w:lvl>
    <w:lvl w:ilvl="1">
      <w:start w:val="1"/>
      <w:numFmt w:val="bullet"/>
      <w:lvlText w:val=""/>
      <w:lvlJc w:val="left"/>
      <w:pPr>
        <w:ind w:left="720" w:hanging="360"/>
      </w:pPr>
      <w:rPr>
        <w:rFonts w:ascii="Symbol" w:hAnsi="Symbol"/>
        <w:color w:val="005596" w:themeColor="accent4"/>
        <w:position w:val="2"/>
        <w:sz w:val="18"/>
      </w:rPr>
    </w:lvl>
    <w:lvl w:ilvl="2">
      <w:start w:val="1"/>
      <w:numFmt w:val="bullet"/>
      <w:lvlText w:val=""/>
      <w:lvlJc w:val="left"/>
      <w:pPr>
        <w:ind w:left="1080" w:hanging="360"/>
      </w:pPr>
      <w:rPr>
        <w:rFonts w:ascii="Symbol" w:hAnsi="Symbol"/>
        <w:color w:val="005596" w:themeColor="accent4"/>
        <w:position w:val="2"/>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403594"/>
    <w:multiLevelType w:val="multilevel"/>
    <w:tmpl w:val="1FDE0F3E"/>
    <w:numStyleLink w:val="Alphanumericlist"/>
  </w:abstractNum>
  <w:abstractNum w:abstractNumId="19" w15:restartNumberingAfterBreak="0">
    <w:nsid w:val="1BDB6135"/>
    <w:multiLevelType w:val="multilevel"/>
    <w:tmpl w:val="1FDE0F3E"/>
    <w:numStyleLink w:val="Alphanumericlist"/>
  </w:abstractNum>
  <w:abstractNum w:abstractNumId="20" w15:restartNumberingAfterBreak="0">
    <w:nsid w:val="25254776"/>
    <w:multiLevelType w:val="multilevel"/>
    <w:tmpl w:val="88F6AD52"/>
    <w:numStyleLink w:val="Bulletsymbols"/>
  </w:abstractNum>
  <w:abstractNum w:abstractNumId="21" w15:restartNumberingAfterBreak="0">
    <w:nsid w:val="33DE08FA"/>
    <w:multiLevelType w:val="multilevel"/>
    <w:tmpl w:val="0409001F"/>
    <w:numStyleLink w:val="Decimaloutline"/>
  </w:abstractNum>
  <w:abstractNum w:abstractNumId="22" w15:restartNumberingAfterBreak="0">
    <w:nsid w:val="33EA4F3F"/>
    <w:multiLevelType w:val="multilevel"/>
    <w:tmpl w:val="88F6AD52"/>
    <w:numStyleLink w:val="Bulletsymbols"/>
  </w:abstractNum>
  <w:abstractNum w:abstractNumId="23" w15:restartNumberingAfterBreak="0">
    <w:nsid w:val="3681398B"/>
    <w:multiLevelType w:val="multilevel"/>
    <w:tmpl w:val="88F6AD52"/>
    <w:numStyleLink w:val="Bulletsymbols"/>
  </w:abstractNum>
  <w:abstractNum w:abstractNumId="24" w15:restartNumberingAfterBreak="0">
    <w:nsid w:val="3950728D"/>
    <w:multiLevelType w:val="multilevel"/>
    <w:tmpl w:val="88F6AD52"/>
    <w:numStyleLink w:val="Bulletsymbols"/>
  </w:abstractNum>
  <w:abstractNum w:abstractNumId="25" w15:restartNumberingAfterBreak="0">
    <w:nsid w:val="39BA562D"/>
    <w:multiLevelType w:val="multilevel"/>
    <w:tmpl w:val="0409001F"/>
    <w:numStyleLink w:val="Decimaloutline"/>
  </w:abstractNum>
  <w:abstractNum w:abstractNumId="26" w15:restartNumberingAfterBreak="0">
    <w:nsid w:val="3FBA03C7"/>
    <w:multiLevelType w:val="multilevel"/>
    <w:tmpl w:val="88F6AD52"/>
    <w:numStyleLink w:val="Bulletsymbols"/>
  </w:abstractNum>
  <w:abstractNum w:abstractNumId="27" w15:restartNumberingAfterBreak="0">
    <w:nsid w:val="42B25F21"/>
    <w:multiLevelType w:val="multilevel"/>
    <w:tmpl w:val="1FDE0F3E"/>
    <w:numStyleLink w:val="Alphanumericlist"/>
  </w:abstractNum>
  <w:abstractNum w:abstractNumId="28" w15:restartNumberingAfterBreak="0">
    <w:nsid w:val="433D427C"/>
    <w:multiLevelType w:val="multilevel"/>
    <w:tmpl w:val="66F67258"/>
    <w:styleLink w:val="ResearchTemplatenumericlist"/>
    <w:lvl w:ilvl="0">
      <w:start w:val="1"/>
      <w:numFmt w:val="decimal"/>
      <w:lvlText w:val="%1."/>
      <w:lvlJc w:val="left"/>
      <w:pPr>
        <w:ind w:left="360" w:hanging="360"/>
      </w:pPr>
      <w:rPr>
        <w:rFonts w:hint="default"/>
        <w:color w:val="51799C"/>
      </w:rPr>
    </w:lvl>
    <w:lvl w:ilvl="1">
      <w:start w:val="1"/>
      <w:numFmt w:val="lowerLetter"/>
      <w:lvlText w:val="%2."/>
      <w:lvlJc w:val="left"/>
      <w:pPr>
        <w:ind w:left="720" w:hanging="360"/>
      </w:pPr>
      <w:rPr>
        <w:rFonts w:hint="default"/>
        <w:color w:val="51799C"/>
      </w:rPr>
    </w:lvl>
    <w:lvl w:ilvl="2">
      <w:start w:val="1"/>
      <w:numFmt w:val="lowerRoman"/>
      <w:lvlText w:val="%3."/>
      <w:lvlJc w:val="left"/>
      <w:pPr>
        <w:ind w:left="1080" w:hanging="360"/>
      </w:pPr>
      <w:rPr>
        <w:rFonts w:hint="default"/>
        <w:color w:val="51799C"/>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F13561"/>
    <w:multiLevelType w:val="multilevel"/>
    <w:tmpl w:val="88F6AD52"/>
    <w:numStyleLink w:val="Bulletsymbols"/>
  </w:abstractNum>
  <w:abstractNum w:abstractNumId="30" w15:restartNumberingAfterBreak="0">
    <w:nsid w:val="480E0094"/>
    <w:multiLevelType w:val="multilevel"/>
    <w:tmpl w:val="1FDE0F3E"/>
    <w:styleLink w:val="Alphanumericlist"/>
    <w:lvl w:ilvl="0">
      <w:start w:val="1"/>
      <w:numFmt w:val="decimal"/>
      <w:lvlText w:val="%1."/>
      <w:lvlJc w:val="left"/>
      <w:pPr>
        <w:ind w:left="360" w:hanging="360"/>
      </w:pPr>
      <w:rPr>
        <w:rFonts w:hint="default"/>
        <w:b/>
        <w:i w:val="0"/>
        <w:color w:val="005596" w:themeColor="accent4"/>
      </w:rPr>
    </w:lvl>
    <w:lvl w:ilvl="1">
      <w:start w:val="1"/>
      <w:numFmt w:val="lowerLetter"/>
      <w:lvlText w:val="%2."/>
      <w:lvlJc w:val="left"/>
      <w:pPr>
        <w:ind w:left="720" w:hanging="360"/>
      </w:pPr>
      <w:rPr>
        <w:rFonts w:hint="default"/>
        <w:b/>
        <w:color w:val="005596" w:themeColor="accent4"/>
      </w:rPr>
    </w:lvl>
    <w:lvl w:ilvl="2">
      <w:start w:val="1"/>
      <w:numFmt w:val="lowerRoman"/>
      <w:lvlText w:val="%3."/>
      <w:lvlJc w:val="left"/>
      <w:pPr>
        <w:ind w:left="1080" w:hanging="360"/>
      </w:pPr>
      <w:rPr>
        <w:rFonts w:hint="default"/>
        <w:b/>
        <w:color w:val="005596" w:themeColor="accent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E6471F"/>
    <w:multiLevelType w:val="multilevel"/>
    <w:tmpl w:val="88F6AD52"/>
    <w:numStyleLink w:val="Bulletsymbols"/>
  </w:abstractNum>
  <w:abstractNum w:abstractNumId="32" w15:restartNumberingAfterBreak="0">
    <w:nsid w:val="51240F17"/>
    <w:multiLevelType w:val="multilevel"/>
    <w:tmpl w:val="1FDE0F3E"/>
    <w:numStyleLink w:val="Alphanumericlist"/>
  </w:abstractNum>
  <w:abstractNum w:abstractNumId="33" w15:restartNumberingAfterBreak="0">
    <w:nsid w:val="67D23BB3"/>
    <w:multiLevelType w:val="multilevel"/>
    <w:tmpl w:val="1FDE0F3E"/>
    <w:numStyleLink w:val="Alphanumericlist"/>
  </w:abstractNum>
  <w:abstractNum w:abstractNumId="34" w15:restartNumberingAfterBreak="0">
    <w:nsid w:val="70CC0185"/>
    <w:multiLevelType w:val="multilevel"/>
    <w:tmpl w:val="1FDE0F3E"/>
    <w:numStyleLink w:val="Alphanumericlist"/>
  </w:abstractNum>
  <w:abstractNum w:abstractNumId="35" w15:restartNumberingAfterBreak="0">
    <w:nsid w:val="79C95415"/>
    <w:multiLevelType w:val="multilevel"/>
    <w:tmpl w:val="88F6AD52"/>
    <w:numStyleLink w:val="Bulletsymbols"/>
  </w:abstractNum>
  <w:abstractNum w:abstractNumId="36" w15:restartNumberingAfterBreak="0">
    <w:nsid w:val="7A5C6E02"/>
    <w:multiLevelType w:val="multilevel"/>
    <w:tmpl w:val="88F6AD52"/>
    <w:numStyleLink w:val="Bulletsymbols"/>
  </w:abstractNum>
  <w:abstractNum w:abstractNumId="37" w15:restartNumberingAfterBreak="0">
    <w:nsid w:val="7CD67895"/>
    <w:multiLevelType w:val="multilevel"/>
    <w:tmpl w:val="88F6AD52"/>
    <w:numStyleLink w:val="Bulletsymbols"/>
  </w:abstractNum>
  <w:num w:numId="1" w16cid:durableId="679620238">
    <w:abstractNumId w:val="9"/>
  </w:num>
  <w:num w:numId="2" w16cid:durableId="986979458">
    <w:abstractNumId w:val="7"/>
  </w:num>
  <w:num w:numId="3" w16cid:durableId="117071734">
    <w:abstractNumId w:val="6"/>
  </w:num>
  <w:num w:numId="4" w16cid:durableId="620965264">
    <w:abstractNumId w:val="5"/>
  </w:num>
  <w:num w:numId="5" w16cid:durableId="1050495919">
    <w:abstractNumId w:val="4"/>
  </w:num>
  <w:num w:numId="6" w16cid:durableId="1338003387">
    <w:abstractNumId w:val="8"/>
  </w:num>
  <w:num w:numId="7" w16cid:durableId="1578251574">
    <w:abstractNumId w:val="3"/>
  </w:num>
  <w:num w:numId="8" w16cid:durableId="1422337201">
    <w:abstractNumId w:val="2"/>
  </w:num>
  <w:num w:numId="9" w16cid:durableId="201207639">
    <w:abstractNumId w:val="1"/>
  </w:num>
  <w:num w:numId="10" w16cid:durableId="1267228823">
    <w:abstractNumId w:val="0"/>
  </w:num>
  <w:num w:numId="11" w16cid:durableId="1230270766">
    <w:abstractNumId w:val="30"/>
  </w:num>
  <w:num w:numId="12" w16cid:durableId="733087934">
    <w:abstractNumId w:val="17"/>
  </w:num>
  <w:num w:numId="13" w16cid:durableId="1648167311">
    <w:abstractNumId w:val="36"/>
  </w:num>
  <w:num w:numId="14" w16cid:durableId="625358877">
    <w:abstractNumId w:val="15"/>
  </w:num>
  <w:num w:numId="15" w16cid:durableId="389230196">
    <w:abstractNumId w:val="20"/>
  </w:num>
  <w:num w:numId="16" w16cid:durableId="2096170533">
    <w:abstractNumId w:val="12"/>
  </w:num>
  <w:num w:numId="17" w16cid:durableId="24602906">
    <w:abstractNumId w:val="11"/>
  </w:num>
  <w:num w:numId="18" w16cid:durableId="513423933">
    <w:abstractNumId w:val="13"/>
  </w:num>
  <w:num w:numId="19" w16cid:durableId="877162537">
    <w:abstractNumId w:val="29"/>
  </w:num>
  <w:num w:numId="20" w16cid:durableId="1934312211">
    <w:abstractNumId w:val="35"/>
  </w:num>
  <w:num w:numId="21" w16cid:durableId="1843931312">
    <w:abstractNumId w:val="34"/>
  </w:num>
  <w:num w:numId="22" w16cid:durableId="1765110368">
    <w:abstractNumId w:val="37"/>
  </w:num>
  <w:num w:numId="23" w16cid:durableId="1626157549">
    <w:abstractNumId w:val="25"/>
  </w:num>
  <w:num w:numId="24" w16cid:durableId="2033728136">
    <w:abstractNumId w:val="31"/>
  </w:num>
  <w:num w:numId="25" w16cid:durableId="863326923">
    <w:abstractNumId w:val="27"/>
  </w:num>
  <w:num w:numId="26" w16cid:durableId="822896162">
    <w:abstractNumId w:val="23"/>
  </w:num>
  <w:num w:numId="27" w16cid:durableId="282201296">
    <w:abstractNumId w:val="26"/>
  </w:num>
  <w:num w:numId="28" w16cid:durableId="606888195">
    <w:abstractNumId w:val="16"/>
  </w:num>
  <w:num w:numId="29" w16cid:durableId="312948287">
    <w:abstractNumId w:val="18"/>
  </w:num>
  <w:num w:numId="30" w16cid:durableId="1846826682">
    <w:abstractNumId w:val="21"/>
  </w:num>
  <w:num w:numId="31" w16cid:durableId="878132905">
    <w:abstractNumId w:val="10"/>
  </w:num>
  <w:num w:numId="32" w16cid:durableId="1169296133">
    <w:abstractNumId w:val="22"/>
  </w:num>
  <w:num w:numId="33" w16cid:durableId="1139415778">
    <w:abstractNumId w:val="28"/>
  </w:num>
  <w:num w:numId="34" w16cid:durableId="1826581614">
    <w:abstractNumId w:val="14"/>
  </w:num>
  <w:num w:numId="35" w16cid:durableId="716928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867586">
    <w:abstractNumId w:val="33"/>
  </w:num>
  <w:num w:numId="37" w16cid:durableId="1451315593">
    <w:abstractNumId w:val="19"/>
  </w:num>
  <w:num w:numId="38" w16cid:durableId="106706372">
    <w:abstractNumId w:val="32"/>
  </w:num>
  <w:num w:numId="39" w16cid:durableId="1548450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6B"/>
    <w:rsid w:val="00011F61"/>
    <w:rsid w:val="00013352"/>
    <w:rsid w:val="00016CF1"/>
    <w:rsid w:val="0002057F"/>
    <w:rsid w:val="00034423"/>
    <w:rsid w:val="000703C0"/>
    <w:rsid w:val="00073C51"/>
    <w:rsid w:val="00073DEE"/>
    <w:rsid w:val="00092C20"/>
    <w:rsid w:val="000A734B"/>
    <w:rsid w:val="000A73D9"/>
    <w:rsid w:val="000B0EFE"/>
    <w:rsid w:val="000B3F78"/>
    <w:rsid w:val="000C1FE5"/>
    <w:rsid w:val="000C7504"/>
    <w:rsid w:val="000D7D35"/>
    <w:rsid w:val="000E55C0"/>
    <w:rsid w:val="00114CA7"/>
    <w:rsid w:val="00124A67"/>
    <w:rsid w:val="001379CE"/>
    <w:rsid w:val="00142DC8"/>
    <w:rsid w:val="00152602"/>
    <w:rsid w:val="0017494E"/>
    <w:rsid w:val="00177AD7"/>
    <w:rsid w:val="0018523E"/>
    <w:rsid w:val="00186E9F"/>
    <w:rsid w:val="00196D65"/>
    <w:rsid w:val="00196E1E"/>
    <w:rsid w:val="0019729E"/>
    <w:rsid w:val="001A15A6"/>
    <w:rsid w:val="001A455C"/>
    <w:rsid w:val="001B34FE"/>
    <w:rsid w:val="001B4A58"/>
    <w:rsid w:val="001B4B71"/>
    <w:rsid w:val="001B5D50"/>
    <w:rsid w:val="001C78EE"/>
    <w:rsid w:val="001D0A0C"/>
    <w:rsid w:val="001D3604"/>
    <w:rsid w:val="001E5CC0"/>
    <w:rsid w:val="001F43A3"/>
    <w:rsid w:val="00206340"/>
    <w:rsid w:val="00216104"/>
    <w:rsid w:val="002327B5"/>
    <w:rsid w:val="002370CB"/>
    <w:rsid w:val="00253F14"/>
    <w:rsid w:val="0027397D"/>
    <w:rsid w:val="00291BA6"/>
    <w:rsid w:val="002A07F8"/>
    <w:rsid w:val="002A3D47"/>
    <w:rsid w:val="002B1366"/>
    <w:rsid w:val="002C0BE6"/>
    <w:rsid w:val="002C4D1F"/>
    <w:rsid w:val="002C52AC"/>
    <w:rsid w:val="002D49F8"/>
    <w:rsid w:val="002E315E"/>
    <w:rsid w:val="002E3CA6"/>
    <w:rsid w:val="002E6DCE"/>
    <w:rsid w:val="002F384D"/>
    <w:rsid w:val="002F38F2"/>
    <w:rsid w:val="002F4640"/>
    <w:rsid w:val="002F56D9"/>
    <w:rsid w:val="002F776E"/>
    <w:rsid w:val="003014E7"/>
    <w:rsid w:val="003062A9"/>
    <w:rsid w:val="00314492"/>
    <w:rsid w:val="00326F1E"/>
    <w:rsid w:val="00336970"/>
    <w:rsid w:val="00340F8D"/>
    <w:rsid w:val="003438CC"/>
    <w:rsid w:val="003563AC"/>
    <w:rsid w:val="00366C6C"/>
    <w:rsid w:val="0037228C"/>
    <w:rsid w:val="0038508A"/>
    <w:rsid w:val="003A6728"/>
    <w:rsid w:val="003D66B8"/>
    <w:rsid w:val="003E289E"/>
    <w:rsid w:val="00412A50"/>
    <w:rsid w:val="004206FA"/>
    <w:rsid w:val="00421DDB"/>
    <w:rsid w:val="004315CD"/>
    <w:rsid w:val="00440AC9"/>
    <w:rsid w:val="00477B9E"/>
    <w:rsid w:val="00481458"/>
    <w:rsid w:val="00484DA4"/>
    <w:rsid w:val="004920AF"/>
    <w:rsid w:val="004A014D"/>
    <w:rsid w:val="004A7F65"/>
    <w:rsid w:val="004B05F9"/>
    <w:rsid w:val="004B2C67"/>
    <w:rsid w:val="004D4C3E"/>
    <w:rsid w:val="004E2DC0"/>
    <w:rsid w:val="005152E6"/>
    <w:rsid w:val="00524A3F"/>
    <w:rsid w:val="00554279"/>
    <w:rsid w:val="00556138"/>
    <w:rsid w:val="005675C8"/>
    <w:rsid w:val="005862B4"/>
    <w:rsid w:val="005869C5"/>
    <w:rsid w:val="005A29C6"/>
    <w:rsid w:val="005B25B7"/>
    <w:rsid w:val="005D0B1D"/>
    <w:rsid w:val="005D132B"/>
    <w:rsid w:val="005F5239"/>
    <w:rsid w:val="006048D4"/>
    <w:rsid w:val="00605D11"/>
    <w:rsid w:val="00613768"/>
    <w:rsid w:val="00615EE3"/>
    <w:rsid w:val="0063461F"/>
    <w:rsid w:val="00663EC8"/>
    <w:rsid w:val="006758BB"/>
    <w:rsid w:val="00681DDE"/>
    <w:rsid w:val="00690F17"/>
    <w:rsid w:val="00694272"/>
    <w:rsid w:val="006A26B0"/>
    <w:rsid w:val="006A76BE"/>
    <w:rsid w:val="006A7D2A"/>
    <w:rsid w:val="006B182D"/>
    <w:rsid w:val="006B783A"/>
    <w:rsid w:val="006D6B9E"/>
    <w:rsid w:val="006E3BBD"/>
    <w:rsid w:val="006F13C6"/>
    <w:rsid w:val="006F5EFD"/>
    <w:rsid w:val="007046B1"/>
    <w:rsid w:val="00716C66"/>
    <w:rsid w:val="00730A35"/>
    <w:rsid w:val="00741079"/>
    <w:rsid w:val="00741B34"/>
    <w:rsid w:val="00756592"/>
    <w:rsid w:val="00761590"/>
    <w:rsid w:val="00764CDB"/>
    <w:rsid w:val="0079295A"/>
    <w:rsid w:val="00794912"/>
    <w:rsid w:val="007A42C9"/>
    <w:rsid w:val="007B3765"/>
    <w:rsid w:val="007B4179"/>
    <w:rsid w:val="007B64BB"/>
    <w:rsid w:val="007B78D2"/>
    <w:rsid w:val="007C2E92"/>
    <w:rsid w:val="007C4D30"/>
    <w:rsid w:val="007C71F8"/>
    <w:rsid w:val="007E3BE4"/>
    <w:rsid w:val="007E7A06"/>
    <w:rsid w:val="008031C8"/>
    <w:rsid w:val="008221E5"/>
    <w:rsid w:val="00827E28"/>
    <w:rsid w:val="00834E6A"/>
    <w:rsid w:val="008429F9"/>
    <w:rsid w:val="008451EC"/>
    <w:rsid w:val="00846135"/>
    <w:rsid w:val="008519D0"/>
    <w:rsid w:val="00881508"/>
    <w:rsid w:val="00894F8F"/>
    <w:rsid w:val="008B34AF"/>
    <w:rsid w:val="008C1FB9"/>
    <w:rsid w:val="008F1DFB"/>
    <w:rsid w:val="008F30C4"/>
    <w:rsid w:val="00907F73"/>
    <w:rsid w:val="00921A0A"/>
    <w:rsid w:val="009370D3"/>
    <w:rsid w:val="00946851"/>
    <w:rsid w:val="009620B4"/>
    <w:rsid w:val="00964CA9"/>
    <w:rsid w:val="009705BD"/>
    <w:rsid w:val="0098589C"/>
    <w:rsid w:val="0098741C"/>
    <w:rsid w:val="009A0F41"/>
    <w:rsid w:val="009A177A"/>
    <w:rsid w:val="009B2F7E"/>
    <w:rsid w:val="009C7D88"/>
    <w:rsid w:val="009D5DB8"/>
    <w:rsid w:val="009E2354"/>
    <w:rsid w:val="009E7F59"/>
    <w:rsid w:val="009F085B"/>
    <w:rsid w:val="009F5405"/>
    <w:rsid w:val="009F7604"/>
    <w:rsid w:val="00A009FD"/>
    <w:rsid w:val="00A00B1C"/>
    <w:rsid w:val="00A017C9"/>
    <w:rsid w:val="00A052D5"/>
    <w:rsid w:val="00A10C3F"/>
    <w:rsid w:val="00A20A51"/>
    <w:rsid w:val="00A20D06"/>
    <w:rsid w:val="00A72E1E"/>
    <w:rsid w:val="00A811F6"/>
    <w:rsid w:val="00A825F2"/>
    <w:rsid w:val="00A92DA4"/>
    <w:rsid w:val="00A94E26"/>
    <w:rsid w:val="00AB4E8A"/>
    <w:rsid w:val="00AB59EA"/>
    <w:rsid w:val="00AC58D5"/>
    <w:rsid w:val="00AC68ED"/>
    <w:rsid w:val="00AD2593"/>
    <w:rsid w:val="00AE3DC9"/>
    <w:rsid w:val="00AE561D"/>
    <w:rsid w:val="00AE717D"/>
    <w:rsid w:val="00B049B9"/>
    <w:rsid w:val="00B2158D"/>
    <w:rsid w:val="00B22E01"/>
    <w:rsid w:val="00B27C4F"/>
    <w:rsid w:val="00B31C39"/>
    <w:rsid w:val="00B35D83"/>
    <w:rsid w:val="00B35E04"/>
    <w:rsid w:val="00B42BED"/>
    <w:rsid w:val="00B55375"/>
    <w:rsid w:val="00B57CF3"/>
    <w:rsid w:val="00B735FE"/>
    <w:rsid w:val="00B75D59"/>
    <w:rsid w:val="00B97330"/>
    <w:rsid w:val="00BB1DE7"/>
    <w:rsid w:val="00BB6161"/>
    <w:rsid w:val="00BB6B51"/>
    <w:rsid w:val="00BD66E4"/>
    <w:rsid w:val="00BE63FF"/>
    <w:rsid w:val="00BE6EA3"/>
    <w:rsid w:val="00C04A90"/>
    <w:rsid w:val="00C20CD7"/>
    <w:rsid w:val="00C23051"/>
    <w:rsid w:val="00C45590"/>
    <w:rsid w:val="00C458F0"/>
    <w:rsid w:val="00C5126B"/>
    <w:rsid w:val="00C5213E"/>
    <w:rsid w:val="00C716B4"/>
    <w:rsid w:val="00C77DE6"/>
    <w:rsid w:val="00C77FE6"/>
    <w:rsid w:val="00C92317"/>
    <w:rsid w:val="00CB6A9D"/>
    <w:rsid w:val="00CC796B"/>
    <w:rsid w:val="00CD714A"/>
    <w:rsid w:val="00CE0FF4"/>
    <w:rsid w:val="00D00FF8"/>
    <w:rsid w:val="00D07075"/>
    <w:rsid w:val="00D10597"/>
    <w:rsid w:val="00D11F7A"/>
    <w:rsid w:val="00D169E2"/>
    <w:rsid w:val="00D21A26"/>
    <w:rsid w:val="00D22B06"/>
    <w:rsid w:val="00D27375"/>
    <w:rsid w:val="00D43420"/>
    <w:rsid w:val="00D63EBA"/>
    <w:rsid w:val="00D647A1"/>
    <w:rsid w:val="00D73F71"/>
    <w:rsid w:val="00D80C9D"/>
    <w:rsid w:val="00D93EA4"/>
    <w:rsid w:val="00DA13F9"/>
    <w:rsid w:val="00DD168B"/>
    <w:rsid w:val="00DD49C5"/>
    <w:rsid w:val="00E11576"/>
    <w:rsid w:val="00E11FD7"/>
    <w:rsid w:val="00E213D5"/>
    <w:rsid w:val="00E2420B"/>
    <w:rsid w:val="00E304E1"/>
    <w:rsid w:val="00E3623B"/>
    <w:rsid w:val="00E56F63"/>
    <w:rsid w:val="00E611F3"/>
    <w:rsid w:val="00E6368F"/>
    <w:rsid w:val="00E73BFA"/>
    <w:rsid w:val="00E74429"/>
    <w:rsid w:val="00E76ADF"/>
    <w:rsid w:val="00E8215E"/>
    <w:rsid w:val="00E82375"/>
    <w:rsid w:val="00E83642"/>
    <w:rsid w:val="00E91511"/>
    <w:rsid w:val="00E9243E"/>
    <w:rsid w:val="00E946C6"/>
    <w:rsid w:val="00EB3048"/>
    <w:rsid w:val="00EB59DA"/>
    <w:rsid w:val="00EC30C0"/>
    <w:rsid w:val="00EC6E35"/>
    <w:rsid w:val="00EE0DB0"/>
    <w:rsid w:val="00EF5E70"/>
    <w:rsid w:val="00F27E17"/>
    <w:rsid w:val="00F4207E"/>
    <w:rsid w:val="00F50721"/>
    <w:rsid w:val="00F5676B"/>
    <w:rsid w:val="00F81919"/>
    <w:rsid w:val="00F877D6"/>
    <w:rsid w:val="00F948D2"/>
    <w:rsid w:val="00FA7D1B"/>
    <w:rsid w:val="00FB1C07"/>
    <w:rsid w:val="00FB3A19"/>
    <w:rsid w:val="00FC5555"/>
    <w:rsid w:val="00FD6FA8"/>
    <w:rsid w:val="00FF0695"/>
    <w:rsid w:val="00FF1BAF"/>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4587D"/>
  <w14:defaultImageDpi w14:val="32767"/>
  <w15:chartTrackingRefBased/>
  <w15:docId w15:val="{6DC27F61-649C-4DDB-BBA9-BCCFA2DC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0"/>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7"/>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rsid w:val="00484DA4"/>
    <w:pPr>
      <w:spacing w:after="120"/>
    </w:pPr>
    <w:rPr>
      <w:color w:val="00B050"/>
      <w:sz w:val="18"/>
    </w:rPr>
  </w:style>
  <w:style w:type="paragraph" w:styleId="Heading1">
    <w:name w:val="heading 1"/>
    <w:basedOn w:val="Normal"/>
    <w:next w:val="Bodycopy"/>
    <w:link w:val="Heading1Char"/>
    <w:uiPriority w:val="7"/>
    <w:qFormat/>
    <w:rsid w:val="00A00B1C"/>
    <w:pPr>
      <w:keepNext/>
      <w:spacing w:before="480" w:after="240"/>
      <w:outlineLvl w:val="0"/>
    </w:pPr>
    <w:rPr>
      <w:rFonts w:asciiTheme="majorHAnsi" w:eastAsiaTheme="majorEastAsia" w:hAnsiTheme="majorHAnsi" w:cstheme="majorBidi"/>
      <w:b/>
      <w:color w:val="005596" w:themeColor="accent4"/>
      <w:sz w:val="28"/>
      <w:szCs w:val="32"/>
    </w:rPr>
  </w:style>
  <w:style w:type="paragraph" w:styleId="Heading2">
    <w:name w:val="heading 2"/>
    <w:basedOn w:val="Normal"/>
    <w:next w:val="Bodycopy"/>
    <w:link w:val="Heading2Char"/>
    <w:uiPriority w:val="7"/>
    <w:qFormat/>
    <w:rsid w:val="002F4640"/>
    <w:pPr>
      <w:keepNext/>
      <w:keepLines/>
      <w:spacing w:before="2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Bodycopy"/>
    <w:link w:val="Heading3Char"/>
    <w:uiPriority w:val="7"/>
    <w:qFormat/>
    <w:rsid w:val="00A00B1C"/>
    <w:pPr>
      <w:keepNext/>
      <w:keepLines/>
      <w:spacing w:before="240" w:after="80"/>
      <w:outlineLvl w:val="2"/>
    </w:pPr>
    <w:rPr>
      <w:rFonts w:asciiTheme="majorHAnsi" w:eastAsiaTheme="majorEastAsia" w:hAnsiTheme="majorHAnsi" w:cstheme="majorBidi"/>
      <w:b/>
      <w:color w:val="005596" w:themeColor="accent4"/>
      <w:sz w:val="21"/>
    </w:rPr>
  </w:style>
  <w:style w:type="paragraph" w:styleId="Heading4">
    <w:name w:val="heading 4"/>
    <w:basedOn w:val="Normal"/>
    <w:next w:val="Bodycopy"/>
    <w:link w:val="Heading4Char"/>
    <w:uiPriority w:val="7"/>
    <w:qFormat/>
    <w:rsid w:val="002F4640"/>
    <w:pPr>
      <w:keepNext/>
      <w:keepLines/>
      <w:spacing w:before="240" w:after="8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640"/>
    <w:pPr>
      <w:pBdr>
        <w:top w:val="single" w:sz="4" w:space="6" w:color="000000" w:themeColor="text1"/>
      </w:pBdr>
      <w:spacing w:after="0"/>
    </w:pPr>
    <w:rPr>
      <w:color w:val="000000" w:themeColor="text1"/>
    </w:rPr>
  </w:style>
  <w:style w:type="character" w:customStyle="1" w:styleId="HeaderChar">
    <w:name w:val="Header Char"/>
    <w:basedOn w:val="DefaultParagraphFont"/>
    <w:link w:val="Header"/>
    <w:uiPriority w:val="99"/>
    <w:rsid w:val="002C0BE6"/>
    <w:rPr>
      <w:rFonts w:eastAsiaTheme="minorEastAsia"/>
      <w:color w:val="000000" w:themeColor="text1"/>
      <w:sz w:val="18"/>
    </w:rPr>
  </w:style>
  <w:style w:type="paragraph" w:styleId="Footer">
    <w:name w:val="footer"/>
    <w:basedOn w:val="Normal"/>
    <w:link w:val="FooterChar"/>
    <w:uiPriority w:val="99"/>
    <w:unhideWhenUsed/>
    <w:rsid w:val="002F4640"/>
    <w:pPr>
      <w:pBdr>
        <w:top w:val="single" w:sz="4" w:space="15" w:color="000000" w:themeColor="text1"/>
      </w:pBdr>
      <w:tabs>
        <w:tab w:val="right" w:pos="10620"/>
      </w:tabs>
      <w:spacing w:after="0"/>
    </w:pPr>
    <w:rPr>
      <w:color w:val="000000" w:themeColor="text1"/>
    </w:rPr>
  </w:style>
  <w:style w:type="character" w:customStyle="1" w:styleId="FooterChar">
    <w:name w:val="Footer Char"/>
    <w:basedOn w:val="DefaultParagraphFont"/>
    <w:link w:val="Footer"/>
    <w:uiPriority w:val="99"/>
    <w:rPr>
      <w:rFonts w:eastAsiaTheme="minorEastAsia"/>
      <w:color w:val="000000" w:themeColor="text1"/>
      <w:sz w:val="18"/>
    </w:rPr>
  </w:style>
  <w:style w:type="character" w:customStyle="1" w:styleId="Heading1Char">
    <w:name w:val="Heading 1 Char"/>
    <w:basedOn w:val="DefaultParagraphFont"/>
    <w:link w:val="Heading1"/>
    <w:uiPriority w:val="7"/>
    <w:rsid w:val="00A00B1C"/>
    <w:rPr>
      <w:rFonts w:asciiTheme="majorHAnsi" w:eastAsiaTheme="majorEastAsia" w:hAnsiTheme="majorHAnsi" w:cstheme="majorBidi"/>
      <w:b/>
      <w:color w:val="005596" w:themeColor="accent4"/>
      <w:sz w:val="28"/>
      <w:szCs w:val="32"/>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customStyle="1" w:styleId="Heading2Char">
    <w:name w:val="Heading 2 Char"/>
    <w:basedOn w:val="DefaultParagraphFont"/>
    <w:link w:val="Heading2"/>
    <w:uiPriority w:val="7"/>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7"/>
    <w:rsid w:val="00A00B1C"/>
    <w:rPr>
      <w:rFonts w:asciiTheme="majorHAnsi" w:eastAsiaTheme="majorEastAsia" w:hAnsiTheme="majorHAnsi" w:cstheme="majorBidi"/>
      <w:b/>
      <w:color w:val="005596" w:themeColor="accent4"/>
      <w:sz w:val="21"/>
    </w:rPr>
  </w:style>
  <w:style w:type="table" w:styleId="TableGrid">
    <w:name w:val="Table Grid"/>
    <w:basedOn w:val="TableNormal"/>
    <w:uiPriority w:val="59"/>
    <w:rsid w:val="00C04A90"/>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odycopy">
    <w:name w:val="Body copy"/>
    <w:basedOn w:val="Normal"/>
    <w:uiPriority w:val="8"/>
    <w:qFormat/>
    <w:rsid w:val="00E82375"/>
    <w:rPr>
      <w:rFonts w:eastAsia="Calibri" w:cs="Times New Roman"/>
      <w:color w:val="000000" w:themeColor="text1"/>
      <w:szCs w:val="18"/>
    </w:rPr>
  </w:style>
  <w:style w:type="paragraph" w:customStyle="1" w:styleId="Tablegraphintrocopy">
    <w:name w:val="Table/graph intro copy"/>
    <w:basedOn w:val="Tablecopy"/>
    <w:uiPriority w:val="13"/>
    <w:qFormat/>
    <w:pPr>
      <w:spacing w:before="120" w:after="120"/>
    </w:pPr>
    <w:rPr>
      <w:rFonts w:eastAsia="Times New Roman"/>
      <w:sz w:val="16"/>
      <w:szCs w:val="20"/>
    </w:rPr>
  </w:style>
  <w:style w:type="paragraph" w:customStyle="1" w:styleId="Back-bodycopy">
    <w:name w:val="Back - body copy"/>
    <w:basedOn w:val="Bodycopy"/>
    <w:uiPriority w:val="23"/>
    <w:rsid w:val="008031C8"/>
    <w:pPr>
      <w:spacing w:after="80" w:line="200" w:lineRule="exact"/>
      <w:ind w:right="3845"/>
    </w:pPr>
    <w:rPr>
      <w:rFonts w:eastAsia="Times New Roman"/>
      <w:spacing w:val="-4"/>
      <w:sz w:val="16"/>
      <w:szCs w:val="20"/>
    </w:rPr>
  </w:style>
  <w:style w:type="paragraph" w:customStyle="1" w:styleId="Authorinfo">
    <w:name w:val="Author info"/>
    <w:basedOn w:val="Normal"/>
    <w:next w:val="Bodycopy"/>
    <w:uiPriority w:val="5"/>
    <w:rsid w:val="002F4640"/>
    <w:rPr>
      <w:rFonts w:eastAsia="Times New Roman" w:cs="Times New Roman"/>
      <w:color w:val="000000" w:themeColor="text1"/>
      <w:szCs w:val="20"/>
    </w:rPr>
  </w:style>
  <w:style w:type="paragraph" w:styleId="TOCHeading">
    <w:name w:val="TOC Heading"/>
    <w:basedOn w:val="Normal"/>
    <w:next w:val="Normal"/>
    <w:uiPriority w:val="39"/>
    <w:semiHidden/>
    <w:rsid w:val="002F4640"/>
    <w:pPr>
      <w:keepLines/>
      <w:spacing w:before="240" w:after="0"/>
    </w:pPr>
    <w:rPr>
      <w:rFonts w:asciiTheme="majorHAnsi" w:eastAsiaTheme="majorEastAsia" w:hAnsiTheme="majorHAnsi" w:cstheme="majorBidi"/>
      <w:color w:val="C65C09" w:themeColor="accent1" w:themeShade="BF"/>
      <w:sz w:val="32"/>
      <w:szCs w:val="32"/>
    </w:rPr>
  </w:style>
  <w:style w:type="table" w:customStyle="1" w:styleId="RPtable1">
    <w:name w:val="RP table1"/>
    <w:basedOn w:val="TableNormal"/>
    <w:uiPriority w:val="99"/>
    <w:rsid w:val="00BD66E4"/>
    <w:rPr>
      <w:color w:val="000000" w:themeColor="text1"/>
      <w:sz w:val="14"/>
    </w:rPr>
    <w:tblPr>
      <w:tblBorders>
        <w:top w:val="single" w:sz="2" w:space="0" w:color="000000" w:themeColor="text1"/>
        <w:bottom w:val="single" w:sz="2" w:space="0" w:color="000000" w:themeColor="text1"/>
        <w:insideH w:val="single" w:sz="2" w:space="0" w:color="000000" w:themeColor="text1"/>
      </w:tblBorders>
      <w:tblCellMar>
        <w:left w:w="0" w:type="dxa"/>
        <w:right w:w="0" w:type="dxa"/>
      </w:tblCellMar>
    </w:tblPr>
    <w:trPr>
      <w:cantSplit/>
    </w:trPr>
    <w:tblStylePr w:type="firstRow">
      <w:rPr>
        <w:b/>
        <w:i w:val="0"/>
        <w:caps/>
        <w:smallCaps w:val="0"/>
        <w:strike w:val="0"/>
        <w:dstrike w:val="0"/>
        <w:vanish w:val="0"/>
        <w:vertAlign w:val="baseline"/>
      </w:rPr>
      <w:tblPr/>
      <w:tcPr>
        <w:tcBorders>
          <w:top w:val="single" w:sz="36" w:space="0" w:color="000000" w:themeColor="text1"/>
          <w:left w:val="nil"/>
          <w:bottom w:val="single" w:sz="36" w:space="0" w:color="000000" w:themeColor="text1"/>
          <w:right w:val="nil"/>
          <w:insideH w:val="nil"/>
          <w:insideV w:val="nil"/>
          <w:tl2br w:val="nil"/>
          <w:tr2bl w:val="nil"/>
        </w:tcBorders>
        <w:shd w:val="clear" w:color="auto" w:fill="DEDFDF" w:themeFill="text2" w:themeFillTint="33"/>
      </w:tcPr>
    </w:tblStylePr>
    <w:tblStylePr w:type="lastRow">
      <w:rPr>
        <w:b/>
      </w:rPr>
      <w:tblPr/>
      <w:tcPr>
        <w:tcBorders>
          <w:top w:val="single" w:sz="12" w:space="0" w:color="000000" w:themeColor="text1"/>
          <w:left w:val="nil"/>
          <w:bottom w:val="single" w:sz="12" w:space="0" w:color="000000" w:themeColor="text1"/>
          <w:right w:val="nil"/>
          <w:insideH w:val="nil"/>
          <w:insideV w:val="nil"/>
          <w:tl2br w:val="nil"/>
          <w:tr2bl w:val="nil"/>
        </w:tcBorders>
        <w:shd w:val="clear" w:color="auto" w:fill="F2F2F2" w:themeFill="background1" w:themeFillShade="F2"/>
      </w:tcPr>
    </w:tblStylePr>
    <w:tblStylePr w:type="firstCol">
      <w:rPr>
        <w:b/>
      </w:rPr>
    </w:tblStylePr>
  </w:style>
  <w:style w:type="paragraph" w:customStyle="1" w:styleId="Tablegraphtitle">
    <w:name w:val="Table/graph title"/>
    <w:basedOn w:val="Normal"/>
    <w:next w:val="Tablegraphintrocopy"/>
    <w:uiPriority w:val="12"/>
    <w:qFormat/>
    <w:rsid w:val="00A00B1C"/>
    <w:pPr>
      <w:keepNext/>
      <w:tabs>
        <w:tab w:val="left" w:pos="288"/>
      </w:tabs>
      <w:spacing w:before="480"/>
    </w:pPr>
    <w:rPr>
      <w:rFonts w:eastAsia="Times New Roman" w:cs="Times New Roman"/>
      <w:b/>
      <w:bCs/>
      <w:color w:val="005596" w:themeColor="accent4"/>
      <w:sz w:val="20"/>
      <w:szCs w:val="20"/>
    </w:rPr>
  </w:style>
  <w:style w:type="paragraph" w:customStyle="1" w:styleId="Tablegraphsource">
    <w:name w:val="Table/graph source"/>
    <w:basedOn w:val="Tablecopy"/>
    <w:next w:val="Bodycopy"/>
    <w:uiPriority w:val="15"/>
    <w:qFormat/>
    <w:pPr>
      <w:keepNext w:val="0"/>
      <w:spacing w:before="120" w:after="240"/>
    </w:pPr>
  </w:style>
  <w:style w:type="paragraph" w:customStyle="1" w:styleId="TablegraphNOSOURCE">
    <w:name w:val="Table/graph NO SOURCE"/>
    <w:basedOn w:val="Tablegraphsource"/>
    <w:next w:val="Bodycopy"/>
    <w:uiPriority w:val="16"/>
    <w:qFormat/>
    <w:pPr>
      <w:spacing w:before="0" w:after="120"/>
    </w:pPr>
    <w:rPr>
      <w:rFonts w:eastAsia="Times New Roman"/>
      <w:szCs w:val="20"/>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style>
  <w:style w:type="paragraph" w:customStyle="1" w:styleId="Tintedtablecopy">
    <w:name w:val="Tinted table copy"/>
    <w:basedOn w:val="Normal"/>
    <w:uiPriority w:val="11"/>
    <w:rsid w:val="002F4640"/>
    <w:pPr>
      <w:keepNext/>
    </w:pPr>
    <w:rPr>
      <w:rFonts w:eastAsia="Calibri" w:cs="Times New Roman"/>
      <w:color w:val="000000" w:themeColor="text1"/>
      <w:sz w:val="24"/>
      <w:szCs w:val="18"/>
    </w:rPr>
  </w:style>
  <w:style w:type="character" w:customStyle="1" w:styleId="Heading4Char">
    <w:name w:val="Heading 4 Char"/>
    <w:basedOn w:val="DefaultParagraphFont"/>
    <w:link w:val="Heading4"/>
    <w:uiPriority w:val="7"/>
    <w:rPr>
      <w:rFonts w:asciiTheme="majorHAnsi" w:eastAsiaTheme="majorEastAsia" w:hAnsiTheme="majorHAnsi" w:cstheme="majorBidi"/>
      <w:b/>
      <w:iCs/>
      <w:color w:val="000000" w:themeColor="text1"/>
      <w:sz w:val="18"/>
    </w:rPr>
  </w:style>
  <w:style w:type="paragraph" w:customStyle="1" w:styleId="Calloutboxcopy">
    <w:name w:val="Callout box copy"/>
    <w:basedOn w:val="Normal"/>
    <w:uiPriority w:val="9"/>
    <w:rsid w:val="002A07F8"/>
    <w:pPr>
      <w:keepNext/>
      <w:spacing w:before="120"/>
      <w:ind w:left="144" w:right="144"/>
    </w:pPr>
    <w:rPr>
      <w:rFonts w:eastAsia="Times New Roman" w:cs="Times New Roman"/>
      <w:i/>
      <w:iCs/>
      <w:color w:val="000000" w:themeColor="text1"/>
      <w:sz w:val="25"/>
      <w:szCs w:val="20"/>
    </w:rPr>
  </w:style>
  <w:style w:type="paragraph" w:customStyle="1" w:styleId="Heading1NOspacebefore">
    <w:name w:val="Heading 1 NO space before"/>
    <w:basedOn w:val="Heading1"/>
    <w:next w:val="Bodycopy"/>
    <w:uiPriority w:val="7"/>
    <w:qFormat/>
    <w:pPr>
      <w:spacing w:before="0"/>
    </w:pPr>
    <w:rPr>
      <w:rFonts w:eastAsia="Times New Roman" w:cs="Times New Roman"/>
      <w:szCs w:val="20"/>
    </w:rPr>
  </w:style>
  <w:style w:type="paragraph" w:customStyle="1" w:styleId="Docsubtitle">
    <w:name w:val="Doc subtitle"/>
    <w:basedOn w:val="Normal"/>
    <w:uiPriority w:val="1"/>
    <w:rsid w:val="00C04A90"/>
    <w:pPr>
      <w:spacing w:before="360" w:after="240" w:line="320" w:lineRule="exact"/>
      <w:contextualSpacing/>
    </w:pPr>
    <w:rPr>
      <w:rFonts w:asciiTheme="majorHAnsi" w:eastAsia="Calibri" w:hAnsiTheme="majorHAnsi" w:cs="Times New Roman"/>
      <w:caps/>
      <w:color w:val="auto"/>
      <w:spacing w:val="-4"/>
      <w:sz w:val="24"/>
      <w:szCs w:val="18"/>
    </w:rPr>
  </w:style>
  <w:style w:type="character" w:styleId="Hyperlink">
    <w:name w:val="Hyperlink"/>
    <w:basedOn w:val="DefaultParagraphFont"/>
    <w:uiPriority w:val="99"/>
    <w:rsid w:val="00A00B1C"/>
    <w:rPr>
      <w:color w:val="005596" w:themeColor="accent4"/>
      <w:u w:val="single"/>
    </w:rPr>
  </w:style>
  <w:style w:type="paragraph" w:styleId="TOC1">
    <w:name w:val="toc 1"/>
    <w:basedOn w:val="Normal"/>
    <w:next w:val="Bodycopy"/>
    <w:uiPriority w:val="39"/>
    <w:rsid w:val="00AB59EA"/>
    <w:pPr>
      <w:tabs>
        <w:tab w:val="right" w:pos="4680"/>
      </w:tabs>
      <w:spacing w:after="360"/>
      <w:ind w:right="3960"/>
    </w:pPr>
    <w:rPr>
      <w:rFonts w:eastAsia="Calibri" w:cs="Times New Roman"/>
      <w:noProof/>
      <w:color w:val="000000" w:themeColor="text1"/>
      <w:sz w:val="28"/>
      <w:szCs w:val="18"/>
    </w:rPr>
  </w:style>
  <w:style w:type="paragraph" w:styleId="FootnoteText">
    <w:name w:val="footnote text"/>
    <w:basedOn w:val="Normal"/>
    <w:link w:val="FootnoteTextChar"/>
    <w:uiPriority w:val="99"/>
    <w:unhideWhenUsed/>
    <w:pPr>
      <w:spacing w:after="0"/>
      <w:ind w:left="86" w:right="-3060" w:hanging="86"/>
    </w:pPr>
    <w:rPr>
      <w:color w:val="000000" w:themeColor="text1"/>
      <w:sz w:val="14"/>
      <w:szCs w:val="20"/>
    </w:rPr>
  </w:style>
  <w:style w:type="character" w:customStyle="1" w:styleId="FootnoteTextChar">
    <w:name w:val="Footnote Text Char"/>
    <w:basedOn w:val="DefaultParagraphFont"/>
    <w:link w:val="FootnoteText"/>
    <w:uiPriority w:val="99"/>
    <w:rPr>
      <w:rFonts w:eastAsiaTheme="minorEastAsia"/>
      <w:color w:val="000000" w:themeColor="text1"/>
      <w:sz w:val="14"/>
      <w:szCs w:val="20"/>
    </w:rPr>
  </w:style>
  <w:style w:type="character" w:styleId="FootnoteReference">
    <w:name w:val="footnote reference"/>
    <w:basedOn w:val="DefaultParagraphFont"/>
    <w:uiPriority w:val="99"/>
    <w:semiHidden/>
    <w:unhideWhenUsed/>
    <w:rPr>
      <w:vertAlign w:val="superscript"/>
    </w:rPr>
  </w:style>
  <w:style w:type="paragraph" w:customStyle="1" w:styleId="ImportantInformation">
    <w:name w:val="Important Information"/>
    <w:basedOn w:val="Normal"/>
    <w:uiPriority w:val="24"/>
    <w:rsid w:val="00C04A90"/>
    <w:pPr>
      <w:spacing w:after="0"/>
    </w:pPr>
    <w:rPr>
      <w:rFonts w:asciiTheme="majorHAnsi" w:eastAsia="Calibri" w:hAnsiTheme="majorHAnsi" w:cs="Times New Roman"/>
      <w:caps/>
      <w:noProof/>
      <w:color w:val="auto"/>
      <w:spacing w:val="-4"/>
      <w:sz w:val="16"/>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customStyle="1" w:styleId="Tablecopy">
    <w:name w:val="Table copy"/>
    <w:basedOn w:val="Normal"/>
    <w:uiPriority w:val="14"/>
    <w:qFormat/>
    <w:rsid w:val="002F4640"/>
    <w:pPr>
      <w:keepNext/>
      <w:spacing w:before="80" w:after="80"/>
      <w:ind w:right="144"/>
    </w:pPr>
    <w:rPr>
      <w:rFonts w:eastAsia="Calibri" w:cs="Times New Roman"/>
      <w:color w:val="000000" w:themeColor="text1"/>
      <w:spacing w:val="2"/>
      <w:sz w:val="14"/>
      <w:szCs w:val="18"/>
    </w:rPr>
  </w:style>
  <w:style w:type="character" w:customStyle="1" w:styleId="CommentTextChar">
    <w:name w:val="Comment Text Char"/>
    <w:basedOn w:val="DefaultParagraphFont"/>
    <w:link w:val="CommentText"/>
    <w:uiPriority w:val="99"/>
    <w:semiHidden/>
    <w:rPr>
      <w:rFonts w:eastAsiaTheme="minorEastAsia"/>
      <w:color w:val="00B05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color w:val="00B050"/>
      <w:sz w:val="20"/>
      <w:szCs w:val="20"/>
    </w:rPr>
  </w:style>
  <w:style w:type="paragraph" w:styleId="Revision">
    <w:name w:val="Revision"/>
    <w:hidden/>
    <w:uiPriority w:val="99"/>
    <w:semiHidden/>
    <w:rsid w:val="002F4640"/>
  </w:style>
  <w:style w:type="paragraph" w:customStyle="1" w:styleId="Pulloutcopy">
    <w:name w:val="Pullout copy"/>
    <w:basedOn w:val="Normal"/>
    <w:uiPriority w:val="10"/>
    <w:rsid w:val="002A07F8"/>
    <w:pPr>
      <w:keepNext/>
      <w:spacing w:after="0"/>
    </w:pPr>
    <w:rPr>
      <w:rFonts w:eastAsia="Times New Roman" w:cs="Times New Roman"/>
      <w:color w:val="000000" w:themeColor="text1"/>
      <w:szCs w:val="20"/>
    </w:rPr>
  </w:style>
  <w:style w:type="paragraph" w:customStyle="1" w:styleId="Pulloutfacthdg">
    <w:name w:val="Pullout fact hdg"/>
    <w:basedOn w:val="Pulloutcopy"/>
    <w:next w:val="Pulloutcopy"/>
    <w:uiPriority w:val="9"/>
    <w:rsid w:val="002A07F8"/>
    <w:pPr>
      <w:spacing w:after="120"/>
    </w:pPr>
    <w:rPr>
      <w:rFonts w:asciiTheme="majorHAnsi" w:hAnsiTheme="majorHAnsi"/>
      <w:b/>
      <w:bCs/>
      <w:sz w:val="20"/>
    </w:rPr>
  </w:style>
  <w:style w:type="paragraph" w:customStyle="1" w:styleId="Tintedtablehdg">
    <w:name w:val="Tinted table hdg"/>
    <w:basedOn w:val="Tintedtablecopy"/>
    <w:uiPriority w:val="10"/>
    <w:rsid w:val="008B34AF"/>
    <w:rPr>
      <w:b/>
      <w:bCs/>
    </w:rPr>
  </w:style>
  <w:style w:type="paragraph" w:customStyle="1" w:styleId="Heading2NOspacebefore">
    <w:name w:val="Heading 2 NO space before"/>
    <w:basedOn w:val="Heading2"/>
    <w:next w:val="Bodycopy"/>
    <w:uiPriority w:val="7"/>
    <w:qFormat/>
    <w:pPr>
      <w:spacing w:before="0"/>
    </w:pPr>
    <w:rPr>
      <w:rFonts w:eastAsia="Times New Roman" w:cs="Times New Roman"/>
      <w:bCs/>
      <w:szCs w:val="20"/>
    </w:rPr>
  </w:style>
  <w:style w:type="numbering" w:customStyle="1" w:styleId="Alphanumericlist">
    <w:name w:val="Alphanumeric list"/>
    <w:basedOn w:val="NoList"/>
    <w:uiPriority w:val="99"/>
    <w:rsid w:val="002F4640"/>
    <w:pPr>
      <w:numPr>
        <w:numId w:val="11"/>
      </w:numPr>
    </w:pPr>
  </w:style>
  <w:style w:type="numbering" w:customStyle="1" w:styleId="Bulletsymbols">
    <w:name w:val="Bullet symbols"/>
    <w:basedOn w:val="NoList"/>
    <w:uiPriority w:val="99"/>
    <w:rsid w:val="002F4640"/>
    <w:pPr>
      <w:numPr>
        <w:numId w:val="12"/>
      </w:numPr>
    </w:pPr>
  </w:style>
  <w:style w:type="numbering" w:customStyle="1" w:styleId="Decimaloutline">
    <w:name w:val="Decimal outline"/>
    <w:basedOn w:val="NoList"/>
    <w:uiPriority w:val="99"/>
    <w:rsid w:val="002F4640"/>
    <w:pPr>
      <w:numPr>
        <w:numId w:val="14"/>
      </w:numPr>
    </w:pPr>
  </w:style>
  <w:style w:type="paragraph" w:customStyle="1" w:styleId="Bulletlistcopy">
    <w:name w:val="Bullet/list copy"/>
    <w:basedOn w:val="Bodycopy"/>
    <w:uiPriority w:val="8"/>
    <w:qFormat/>
    <w:pPr>
      <w:spacing w:line="220" w:lineRule="exact"/>
    </w:pPr>
    <w:rPr>
      <w:rFonts w:eastAsia="Times New Roman"/>
      <w:szCs w:val="20"/>
    </w:rPr>
  </w:style>
  <w:style w:type="paragraph" w:customStyle="1" w:styleId="Iconintablecolumn">
    <w:name w:val="Icon in table column"/>
    <w:basedOn w:val="Normal"/>
    <w:uiPriority w:val="12"/>
    <w:rsid w:val="008B34AF"/>
    <w:pPr>
      <w:keepNext/>
      <w:spacing w:after="0"/>
      <w:jc w:val="center"/>
    </w:pPr>
    <w:rPr>
      <w:rFonts w:eastAsia="Times New Roman" w:cs="Times New Roman"/>
      <w:noProof/>
      <w:color w:val="000000" w:themeColor="text1"/>
      <w:szCs w:val="20"/>
    </w:rPr>
  </w:style>
  <w:style w:type="paragraph" w:customStyle="1" w:styleId="Tintedtablecopysmall">
    <w:name w:val="Tinted table copy small"/>
    <w:basedOn w:val="Tintedtablecopy"/>
    <w:uiPriority w:val="11"/>
    <w:rPr>
      <w:sz w:val="18"/>
    </w:rPr>
  </w:style>
  <w:style w:type="paragraph" w:customStyle="1" w:styleId="Tintedtablehdgsmall">
    <w:name w:val="Tinted table hdg small"/>
    <w:basedOn w:val="Tintedtablehdg"/>
    <w:uiPriority w:val="10"/>
    <w:rPr>
      <w:sz w:val="18"/>
    </w:rPr>
  </w:style>
  <w:style w:type="paragraph" w:customStyle="1" w:styleId="Tablecopyright">
    <w:name w:val="Table copy right"/>
    <w:basedOn w:val="Tablecopy"/>
    <w:uiPriority w:val="14"/>
    <w:qFormat/>
    <w:pPr>
      <w:jc w:val="right"/>
    </w:pPr>
    <w:rPr>
      <w:rFonts w:eastAsia="Times New Roman"/>
      <w:szCs w:val="20"/>
    </w:rPr>
  </w:style>
  <w:style w:type="paragraph" w:customStyle="1" w:styleId="Tintedtablelargecolumn">
    <w:name w:val="Tinted table large # column"/>
    <w:basedOn w:val="Normal"/>
    <w:uiPriority w:val="11"/>
    <w:rsid w:val="002F4640"/>
    <w:pPr>
      <w:spacing w:after="0"/>
    </w:pPr>
    <w:rPr>
      <w:rFonts w:eastAsia="Calibri" w:cs="Times New Roman"/>
      <w:b/>
      <w:bCs/>
      <w:color w:val="000000" w:themeColor="text1"/>
      <w:sz w:val="36"/>
      <w:szCs w:val="18"/>
    </w:rPr>
  </w:style>
  <w:style w:type="character" w:customStyle="1" w:styleId="TintedtablesymbolCHAR">
    <w:name w:val="Tinted table symbol CHAR"/>
    <w:basedOn w:val="DefaultParagraphFont"/>
    <w:uiPriority w:val="11"/>
    <w:rPr>
      <w:b w:val="0"/>
      <w:color w:val="000000" w:themeColor="text1"/>
      <w:sz w:val="72"/>
    </w:rPr>
  </w:style>
  <w:style w:type="paragraph" w:customStyle="1" w:styleId="Pulloutfacthdg2">
    <w:name w:val="Pullout fact hdg 2"/>
    <w:basedOn w:val="Pulloutfacthdg"/>
    <w:next w:val="Pulloutcopy"/>
    <w:uiPriority w:val="9"/>
    <w:rsid w:val="00694272"/>
    <w:pPr>
      <w:spacing w:after="80"/>
    </w:pPr>
    <w:rPr>
      <w:caps/>
      <w:sz w:val="16"/>
    </w:rPr>
  </w:style>
  <w:style w:type="character" w:customStyle="1" w:styleId="AuthornameCHAR">
    <w:name w:val="Author name CHAR"/>
    <w:basedOn w:val="DefaultParagraphFont"/>
    <w:uiPriority w:val="5"/>
    <w:rPr>
      <w:b/>
      <w:color w:val="000000" w:themeColor="text1"/>
    </w:rPr>
  </w:style>
  <w:style w:type="paragraph" w:customStyle="1" w:styleId="TablegraphtitleNOspacebefore">
    <w:name w:val="Table/graph title NO space before"/>
    <w:basedOn w:val="Tablegraphtitle"/>
    <w:next w:val="Tablegraphintrocopy"/>
    <w:uiPriority w:val="12"/>
    <w:qFormat/>
    <w:pPr>
      <w:spacing w:before="0"/>
    </w:pPr>
  </w:style>
  <w:style w:type="paragraph" w:customStyle="1" w:styleId="AboutRussell">
    <w:name w:val="About Russell"/>
    <w:basedOn w:val="Docsubtitle"/>
    <w:uiPriority w:val="23"/>
    <w:rsid w:val="003438CC"/>
    <w:pPr>
      <w:keepNext/>
      <w:spacing w:after="180"/>
      <w:contextualSpacing w:val="0"/>
    </w:pPr>
    <w:rPr>
      <w:noProof/>
      <w:sz w:val="28"/>
    </w:rPr>
  </w:style>
  <w:style w:type="paragraph" w:styleId="EndnoteText">
    <w:name w:val="endnote text"/>
    <w:basedOn w:val="FootnoteText"/>
    <w:link w:val="EndnoteTextChar"/>
    <w:uiPriority w:val="99"/>
    <w:unhideWhenUsed/>
  </w:style>
  <w:style w:type="character" w:customStyle="1" w:styleId="EndnoteTextChar">
    <w:name w:val="Endnote Text Char"/>
    <w:basedOn w:val="DefaultParagraphFont"/>
    <w:link w:val="EndnoteText"/>
    <w:uiPriority w:val="99"/>
    <w:rPr>
      <w:rFonts w:eastAsiaTheme="minorEastAsia"/>
      <w:color w:val="000000" w:themeColor="text1"/>
      <w:sz w:val="14"/>
      <w:szCs w:val="20"/>
    </w:rPr>
  </w:style>
  <w:style w:type="character" w:styleId="EndnoteReference">
    <w:name w:val="endnote reference"/>
    <w:basedOn w:val="DefaultParagraphFont"/>
    <w:uiPriority w:val="99"/>
    <w:semiHidden/>
    <w:unhideWhenUsed/>
    <w:rPr>
      <w:vertAlign w:val="superscript"/>
    </w:rPr>
  </w:style>
  <w:style w:type="paragraph" w:customStyle="1" w:styleId="Placedelement">
    <w:name w:val="Placed element"/>
    <w:basedOn w:val="Normal"/>
    <w:next w:val="Bodycopy"/>
    <w:uiPriority w:val="15"/>
    <w:rsid w:val="00694272"/>
    <w:pPr>
      <w:keepNext/>
      <w:spacing w:after="0"/>
      <w:ind w:left="-43"/>
    </w:pPr>
    <w:rPr>
      <w:rFonts w:eastAsia="Times New Roman" w:cs="Times New Roman"/>
      <w:color w:val="000000" w:themeColor="text1"/>
      <w:sz w:val="16"/>
      <w:szCs w:val="20"/>
    </w:rPr>
  </w:style>
  <w:style w:type="paragraph" w:customStyle="1" w:styleId="Tablecopycentered">
    <w:name w:val="Table copy centered"/>
    <w:basedOn w:val="Tablecopy"/>
    <w:uiPriority w:val="14"/>
    <w:qFormat/>
    <w:pPr>
      <w:jc w:val="center"/>
    </w:pPr>
    <w:rPr>
      <w:rFonts w:eastAsia="Times New Roman"/>
      <w:szCs w:val="20"/>
    </w:rPr>
  </w:style>
  <w:style w:type="character" w:styleId="UnresolvedMention">
    <w:name w:val="Unresolved Mention"/>
    <w:basedOn w:val="DefaultParagraphFont"/>
    <w:uiPriority w:val="99"/>
    <w:semiHidden/>
    <w:unhideWhenUsed/>
    <w:rsid w:val="005D0B1D"/>
    <w:rPr>
      <w:color w:val="605E5C"/>
      <w:shd w:val="clear" w:color="auto" w:fill="E1DFDD"/>
    </w:rPr>
  </w:style>
  <w:style w:type="paragraph" w:customStyle="1" w:styleId="Back-disclosures">
    <w:name w:val="Back - disclosures"/>
    <w:basedOn w:val="Back-bodycopy"/>
    <w:uiPriority w:val="25"/>
    <w:rsid w:val="00B35E04"/>
    <w:pPr>
      <w:spacing w:line="180" w:lineRule="exact"/>
      <w:ind w:right="0"/>
    </w:pPr>
  </w:style>
  <w:style w:type="character" w:styleId="FollowedHyperlink">
    <w:name w:val="FollowedHyperlink"/>
    <w:basedOn w:val="DefaultParagraphFont"/>
    <w:uiPriority w:val="99"/>
    <w:semiHidden/>
    <w:unhideWhenUsed/>
    <w:rsid w:val="00340F8D"/>
    <w:rPr>
      <w:color w:val="5F6061" w:themeColor="followedHyperlink"/>
      <w:u w:val="single"/>
    </w:rPr>
  </w:style>
  <w:style w:type="table" w:styleId="GridTable5Dark-Accent1">
    <w:name w:val="Grid Table 5 Dark Accent 1"/>
    <w:basedOn w:val="TableNormal"/>
    <w:uiPriority w:val="50"/>
    <w:rsid w:val="00340F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E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E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E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E20" w:themeFill="accent1"/>
      </w:tcPr>
    </w:tblStylePr>
    <w:tblStylePr w:type="band1Vert">
      <w:tblPr/>
      <w:tcPr>
        <w:shd w:val="clear" w:color="auto" w:fill="FBCBA5" w:themeFill="accent1" w:themeFillTint="66"/>
      </w:tcPr>
    </w:tblStylePr>
    <w:tblStylePr w:type="band1Horz">
      <w:tblPr/>
      <w:tcPr>
        <w:shd w:val="clear" w:color="auto" w:fill="FBCBA5" w:themeFill="accent1" w:themeFillTint="66"/>
      </w:tcPr>
    </w:tblStylePr>
  </w:style>
  <w:style w:type="numbering" w:customStyle="1" w:styleId="ResearchTemplatenumericlist">
    <w:name w:val="Research Template numeric list"/>
    <w:basedOn w:val="NoList"/>
    <w:uiPriority w:val="99"/>
    <w:rsid w:val="002F4640"/>
    <w:pPr>
      <w:numPr>
        <w:numId w:val="33"/>
      </w:numPr>
    </w:pPr>
  </w:style>
  <w:style w:type="paragraph" w:customStyle="1" w:styleId="Questions">
    <w:name w:val="Questions"/>
    <w:basedOn w:val="AboutRussell"/>
    <w:uiPriority w:val="21"/>
    <w:rsid w:val="003438CC"/>
    <w:pPr>
      <w:spacing w:line="400" w:lineRule="exact"/>
    </w:pPr>
    <w:rPr>
      <w:sz w:val="36"/>
    </w:rPr>
  </w:style>
  <w:style w:type="paragraph" w:customStyle="1" w:styleId="Calltoaction">
    <w:name w:val="Call to action"/>
    <w:basedOn w:val="Back-bodycopy"/>
    <w:uiPriority w:val="22"/>
    <w:rsid w:val="00694272"/>
    <w:pPr>
      <w:spacing w:after="840" w:line="320" w:lineRule="exact"/>
    </w:pPr>
    <w:rPr>
      <w:sz w:val="28"/>
    </w:rPr>
  </w:style>
  <w:style w:type="character" w:customStyle="1" w:styleId="CalltoactionnumberCHAR">
    <w:name w:val="Call to action number CHAR"/>
    <w:basedOn w:val="DefaultParagraphFont"/>
    <w:uiPriority w:val="22"/>
    <w:rsid w:val="001A15A6"/>
    <w:rPr>
      <w:b/>
      <w:bCs/>
      <w:color w:val="F57E20" w:themeColor="accent1"/>
    </w:rPr>
  </w:style>
  <w:style w:type="character" w:customStyle="1" w:styleId="CalltoactionURLCHAR">
    <w:name w:val="Call to action URL CHAR"/>
    <w:basedOn w:val="DefaultParagraphFont"/>
    <w:uiPriority w:val="22"/>
    <w:rsid w:val="00A00B1C"/>
    <w:rPr>
      <w:b/>
      <w:color w:val="005596" w:themeColor="accent4"/>
    </w:rPr>
  </w:style>
  <w:style w:type="paragraph" w:customStyle="1" w:styleId="Documenttypeblack">
    <w:name w:val="Document type black"/>
    <w:basedOn w:val="Normal"/>
    <w:uiPriority w:val="1"/>
    <w:rsid w:val="00794912"/>
    <w:pPr>
      <w:ind w:right="45"/>
    </w:pPr>
    <w:rPr>
      <w:rFonts w:asciiTheme="majorHAnsi" w:eastAsiaTheme="minorEastAsia" w:hAnsiTheme="majorHAnsi" w:cstheme="majorHAnsi"/>
      <w:caps/>
      <w:noProof/>
      <w:color w:val="000000" w:themeColor="text1"/>
      <w:spacing w:val="-4"/>
      <w:sz w:val="20"/>
      <w:szCs w:val="28"/>
    </w:rPr>
  </w:style>
  <w:style w:type="paragraph" w:customStyle="1" w:styleId="Doctitleblack">
    <w:name w:val="Doc title black"/>
    <w:rsid w:val="00794912"/>
    <w:rPr>
      <w:rFonts w:asciiTheme="majorHAnsi" w:eastAsiaTheme="minorEastAsia" w:hAnsiTheme="majorHAnsi" w:cs="Arial"/>
      <w:bCs/>
      <w:caps/>
      <w:color w:val="000000" w:themeColor="text1"/>
      <w:spacing w:val="-6"/>
      <w:sz w:val="44"/>
      <w:szCs w:val="96"/>
    </w:rPr>
  </w:style>
  <w:style w:type="paragraph" w:customStyle="1" w:styleId="Introcopy">
    <w:name w:val="Intro copy"/>
    <w:next w:val="Bodycopy"/>
    <w:uiPriority w:val="6"/>
    <w:qFormat/>
    <w:rsid w:val="00613768"/>
    <w:pPr>
      <w:spacing w:after="240"/>
    </w:pPr>
    <w:rPr>
      <w:rFonts w:eastAsia="Calibri" w:cs="Times New Roman"/>
      <w:color w:val="000000" w:themeColor="text1"/>
      <w:sz w:val="22"/>
      <w:szCs w:val="18"/>
    </w:rPr>
  </w:style>
  <w:style w:type="paragraph" w:customStyle="1" w:styleId="Introheading">
    <w:name w:val="Intro heading"/>
    <w:next w:val="Introcopy"/>
    <w:uiPriority w:val="5"/>
    <w:qFormat/>
    <w:rsid w:val="00A00B1C"/>
    <w:pPr>
      <w:keepNext/>
      <w:spacing w:before="360" w:after="240"/>
      <w:ind w:right="-3037"/>
    </w:pPr>
    <w:rPr>
      <w:rFonts w:asciiTheme="majorHAnsi" w:eastAsia="Calibri" w:hAnsiTheme="majorHAnsi" w:cs="Times New Roman"/>
      <w:color w:val="005596" w:themeColor="accent4"/>
      <w:sz w:val="28"/>
      <w:szCs w:val="18"/>
    </w:rPr>
  </w:style>
  <w:style w:type="paragraph" w:customStyle="1" w:styleId="Back-hdgsnotinTOCnoindent">
    <w:name w:val="Back - hdgs not in TOC no indent"/>
    <w:basedOn w:val="Calltoaction"/>
    <w:uiPriority w:val="17"/>
    <w:rsid w:val="002A07F8"/>
    <w:pPr>
      <w:ind w:right="-23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44746">
      <w:bodyDiv w:val="1"/>
      <w:marLeft w:val="0"/>
      <w:marRight w:val="0"/>
      <w:marTop w:val="0"/>
      <w:marBottom w:val="0"/>
      <w:divBdr>
        <w:top w:val="none" w:sz="0" w:space="0" w:color="auto"/>
        <w:left w:val="none" w:sz="0" w:space="0" w:color="auto"/>
        <w:bottom w:val="none" w:sz="0" w:space="0" w:color="auto"/>
        <w:right w:val="none" w:sz="0" w:space="0" w:color="auto"/>
      </w:divBdr>
    </w:div>
    <w:div w:id="7210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ssellinvestment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nawar\Downloads\A4-General-branded.dotx" TargetMode="External"/></Relationships>
</file>

<file path=word/theme/theme1.xml><?xml version="1.0" encoding="utf-8"?>
<a:theme xmlns:a="http://schemas.openxmlformats.org/drawingml/2006/main" name="Russell Investments">
  <a:themeElements>
    <a:clrScheme name="Russell Investments 2023">
      <a:dk1>
        <a:srgbClr val="000000"/>
      </a:dk1>
      <a:lt1>
        <a:srgbClr val="FFFFFF"/>
      </a:lt1>
      <a:dk2>
        <a:srgbClr val="5F6061"/>
      </a:dk2>
      <a:lt2>
        <a:srgbClr val="79BDE8"/>
      </a:lt2>
      <a:accent1>
        <a:srgbClr val="F57E20"/>
      </a:accent1>
      <a:accent2>
        <a:srgbClr val="79BDE8"/>
      </a:accent2>
      <a:accent3>
        <a:srgbClr val="A39A93"/>
      </a:accent3>
      <a:accent4>
        <a:srgbClr val="005596"/>
      </a:accent4>
      <a:accent5>
        <a:srgbClr val="EFC163"/>
      </a:accent5>
      <a:accent6>
        <a:srgbClr val="982024"/>
      </a:accent6>
      <a:hlink>
        <a:srgbClr val="000000"/>
      </a:hlink>
      <a:folHlink>
        <a:srgbClr val="5F606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Russell Investments">
        <a:dk1>
          <a:srgbClr val="000000"/>
        </a:dk1>
        <a:lt1>
          <a:srgbClr val="FFFFFF"/>
        </a:lt1>
        <a:dk2>
          <a:srgbClr val="5F6061"/>
        </a:dk2>
        <a:lt2>
          <a:srgbClr val="DBD8BD"/>
        </a:lt2>
        <a:accent1>
          <a:srgbClr val="F57E20"/>
        </a:accent1>
        <a:accent2>
          <a:srgbClr val="79BDE8"/>
        </a:accent2>
        <a:accent3>
          <a:srgbClr val="A39A93"/>
        </a:accent3>
        <a:accent4>
          <a:srgbClr val="005596"/>
        </a:accent4>
        <a:accent5>
          <a:srgbClr val="982024"/>
        </a:accent5>
        <a:accent6>
          <a:srgbClr val="EFC163"/>
        </a:accent6>
        <a:hlink>
          <a:srgbClr val="000000"/>
        </a:hlink>
        <a:folHlink>
          <a:srgbClr val="000000"/>
        </a:folHlink>
      </a:clrScheme>
    </a:extraClrScheme>
  </a:extraClrSchemeLst>
  <a:custClrLst>
    <a:custClr name="Black">
      <a:srgbClr val="000000"/>
    </a:custClr>
    <a:custClr name="White">
      <a:srgbClr val="FFFFFF"/>
    </a:custClr>
    <a:custClr name="PMS 425">
      <a:srgbClr val="5F6062"/>
    </a:custClr>
    <a:custClr name="PMS 152">
      <a:srgbClr val="F57E20"/>
    </a:custClr>
    <a:custClr name="PMS 292">
      <a:srgbClr val="79BDE8"/>
    </a:custClr>
    <a:custClr name="PMS WARM GRAY 7">
      <a:srgbClr val="A49A94"/>
    </a:custClr>
    <a:custClr name="PMS 453">
      <a:srgbClr val="DBD8BD"/>
    </a:custClr>
    <a:custClr name="PMS 294">
      <a:srgbClr val="005596"/>
    </a:custClr>
    <a:custClr name="PMS 292+45k">
      <a:srgbClr val="4B7995"/>
    </a:custClr>
    <a:custClr name="PMS 292+30k">
      <a:srgbClr val="5B90B0"/>
    </a:custClr>
    <a:custClr name="PMS 292+15k">
      <a:srgbClr val="6AA6CB"/>
    </a:custClr>
    <a:custClr name="PMS 152+15k">
      <a:srgbClr val="D46E1B"/>
    </a:custClr>
    <a:custClr name="PMS WARM GRAY 7 (AT 50%)">
      <a:srgbClr val="CBC5C2"/>
    </a:custClr>
    <a:custClr name="PMS WARM GRAY 7+20k">
      <a:srgbClr val="7D746E"/>
    </a:custClr>
    <a:custClr name="PMS 453+10k">
      <a:srgbClr val="C7C5AD"/>
    </a:custClr>
    <a:custClr name="PMS 453+20k">
      <a:srgbClr val="B5B49F"/>
    </a:custClr>
    <a:custClr name="CORP DK BROWN">
      <a:srgbClr val="4E180E"/>
    </a:custClr>
    <a:custClr name="CORP MED BROWN">
      <a:srgbClr val="7C3A00"/>
    </a:custClr>
    <a:custClr name="CORP LT BROWN">
      <a:srgbClr val="AA703F"/>
    </a:custClr>
    <a:custClr name="CORP CRIMSON">
      <a:srgbClr val="982124"/>
    </a:custClr>
    <a:custClr name="CORP RED">
      <a:srgbClr val="C44F27"/>
    </a:custClr>
    <a:custClr name="CORP YELLOW">
      <a:srgbClr val="EFC163"/>
    </a:custClr>
    <a:custClr name="CORP PURPLE">
      <a:srgbClr val="582857"/>
    </a:custClr>
    <a:custClr name="CORP LT PURPLE">
      <a:srgbClr val="866781"/>
    </a:custClr>
    <a:custClr name="CORP GREEN">
      <a:srgbClr val="607653"/>
    </a:custClr>
    <a:custClr name="CORP LT GREEN">
      <a:srgbClr val="91AA88"/>
    </a:custClr>
    <a:custClr name=" ">
      <a:srgbClr val="FFFFFF"/>
    </a:custClr>
    <a:custClr name=" ">
      <a:srgbClr val="FFFFFF"/>
    </a:custClr>
    <a:custClr name=" ">
      <a:srgbClr val="FFFFFF"/>
    </a:custClr>
    <a:custClr name=" ">
      <a:srgbClr val="FFFFFF"/>
    </a:custClr>
    <a:custClr name="PMS 425 (AT 50%)">
      <a:srgbClr val="AFB0B1"/>
    </a:custClr>
    <a:custClr name="PMS 152 (AT 50%)">
      <a:srgbClr val="FABF90"/>
    </a:custClr>
    <a:custClr name="PMS 292 (AT 50%)">
      <a:srgbClr val="BCDEF4"/>
    </a:custClr>
    <a:custClr name="PMS WARM GRAY 7 (AT 50%)">
      <a:srgbClr val="CBC5C2"/>
    </a:custClr>
    <a:custClr name="PMS 453 (AT 50%)">
      <a:srgbClr val="EDECDE"/>
    </a:custClr>
    <a:custClr name="PMS 294 (AT 50%)">
      <a:srgbClr val="80AACB"/>
    </a:custClr>
    <a:custClr name="CORP DK BROWN (AT 50%)">
      <a:srgbClr val="A78C87"/>
    </a:custClr>
    <a:custClr name="CORP MED BROWN (AT 50%)">
      <a:srgbClr val="BE9D80"/>
    </a:custClr>
    <a:custClr name="CORP LT BROWN (AT 50%)">
      <a:srgbClr val="D5B89F"/>
    </a:custClr>
    <a:custClr name="CORP CRIMSON (AT 50%)">
      <a:srgbClr val="CC9092"/>
    </a:custClr>
    <a:custClr name="CORP RED (AT 50%)">
      <a:srgbClr val="E2A793"/>
    </a:custClr>
    <a:custClr name="CORP YELLOW (AT 50%)">
      <a:srgbClr val="F7E0B1"/>
    </a:custClr>
    <a:custClr name="CORP PURPLE (AT 50%)">
      <a:srgbClr val="AC94AB"/>
    </a:custClr>
    <a:custClr name="CORP LT PURPLE (AT 50%)">
      <a:srgbClr val="C3B3C0"/>
    </a:custClr>
    <a:custClr name="CORP GREEN (AT 50%)">
      <a:srgbClr val="B0BBA9"/>
    </a:custClr>
    <a:custClr name="CORP LT GREEN (AT 50%)">
      <a:srgbClr val="C8D5C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CD9D0C8B38942B1D38552F9912594" ma:contentTypeVersion="17" ma:contentTypeDescription="Create a new document." ma:contentTypeScope="" ma:versionID="6f1878209deadfb9f7f2ec800d08b6dc">
  <xsd:schema xmlns:xsd="http://www.w3.org/2001/XMLSchema" xmlns:xs="http://www.w3.org/2001/XMLSchema" xmlns:p="http://schemas.microsoft.com/office/2006/metadata/properties" xmlns:ns2="9434877f-7b66-4ea3-9cd7-04f38803de87" xmlns:ns3="9e011c71-9ee8-41dc-9f6f-4c017d569416" targetNamespace="http://schemas.microsoft.com/office/2006/metadata/properties" ma:root="true" ma:fieldsID="dfeb84d8335fbd64e1c585b88ec1e78e" ns2:_="" ns3:_="">
    <xsd:import namespace="9434877f-7b66-4ea3-9cd7-04f38803de87"/>
    <xsd:import namespace="9e011c71-9ee8-41dc-9f6f-4c017d5694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877f-7b66-4ea3-9cd7-04f38803d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065594-cf3b-405a-949a-0cf776449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11c71-9ee8-41dc-9f6f-4c017d5694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a2dd2c-fe8a-4934-b034-ff3c389959c5}" ma:internalName="TaxCatchAll" ma:showField="CatchAllData" ma:web="9e011c71-9ee8-41dc-9f6f-4c017d569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011c71-9ee8-41dc-9f6f-4c017d569416" xsi:nil="true"/>
    <lcf76f155ced4ddcb4097134ff3c332f xmlns="9434877f-7b66-4ea3-9cd7-04f38803d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7CF039-750A-427D-964C-6E73F3DF8B4D}"/>
</file>

<file path=customXml/itemProps2.xml><?xml version="1.0" encoding="utf-8"?>
<ds:datastoreItem xmlns:ds="http://schemas.openxmlformats.org/officeDocument/2006/customXml" ds:itemID="{3CFE849F-486A-479E-93ED-1EB2E38B66E7}">
  <ds:schemaRefs>
    <ds:schemaRef ds:uri="http://schemas.openxmlformats.org/officeDocument/2006/bibliography"/>
  </ds:schemaRefs>
</ds:datastoreItem>
</file>

<file path=customXml/itemProps3.xml><?xml version="1.0" encoding="utf-8"?>
<ds:datastoreItem xmlns:ds="http://schemas.openxmlformats.org/officeDocument/2006/customXml" ds:itemID="{D3AAE2A4-4FAA-4FB5-813D-BE04695B754E}">
  <ds:schemaRefs>
    <ds:schemaRef ds:uri="http://schemas.microsoft.com/sharepoint/v3/contenttype/forms"/>
  </ds:schemaRefs>
</ds:datastoreItem>
</file>

<file path=customXml/itemProps4.xml><?xml version="1.0" encoding="utf-8"?>
<ds:datastoreItem xmlns:ds="http://schemas.openxmlformats.org/officeDocument/2006/customXml" ds:itemID="{13F2D599-4FFC-4427-99CA-4850154693F4}">
  <ds:schemaRefs>
    <ds:schemaRef ds:uri="http://schemas.microsoft.com/office/2006/metadata/properties"/>
    <ds:schemaRef ds:uri="http://schemas.microsoft.com/office/infopath/2007/PartnerControls"/>
    <ds:schemaRef ds:uri="4a437b21-c365-4cd6-b6ba-31a4416dc0b7"/>
    <ds:schemaRef ds:uri="41fe362b-87b3-4c00-8b7e-3d3e72ecc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A4-General-branded.dotx</Template>
  <TotalTime>21</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Russell Investments</vt:lpstr>
    </vt:vector>
  </TitlesOfParts>
  <Manager>Russell Investments</Manager>
  <Company>Russell Investments</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Investments</dc:title>
  <dc:subject>Russell Investments</dc:subject>
  <dc:creator>Gunawardana, Anushika</dc:creator>
  <cp:keywords/>
  <dc:description/>
  <cp:lastModifiedBy>Little, David</cp:lastModifiedBy>
  <cp:revision>4</cp:revision>
  <cp:lastPrinted>2022-11-16T19:16:00Z</cp:lastPrinted>
  <dcterms:created xsi:type="dcterms:W3CDTF">2024-08-07T03:29:00Z</dcterms:created>
  <dcterms:modified xsi:type="dcterms:W3CDTF">2024-08-07T22:53:00Z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0x010100491CD9D0C8B38942B1D38552F9912594</vt:lpwstr>
  </property>
  <property fmtid="{D5CDD505-2E9C-101B-9397-08002B2CF9AE}" pid="3" name="MediaServiceImageTags">
    <vt:lpwstr/>
  </property>
</Properties>
</file>