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0"/>
      </w:tblGrid>
      <w:tr w:rsidR="00794912" w14:paraId="43AACD3D" w14:textId="77777777" w:rsidTr="00B57CF3">
        <w:trPr>
          <w:trHeight w:hRule="exact" w:val="1805"/>
        </w:trPr>
        <w:tc>
          <w:tcPr>
            <w:tcW w:w="6480" w:type="dxa"/>
          </w:tcPr>
          <w:p w14:paraId="391A5E92" w14:textId="7F9E529D" w:rsidR="00794912" w:rsidRPr="00B000BD" w:rsidRDefault="00C5126B" w:rsidP="00E3667F">
            <w:pPr>
              <w:pStyle w:val="Doctitleblack"/>
            </w:pPr>
            <w:r>
              <w:t>sustainable managed portfolios</w:t>
            </w:r>
          </w:p>
        </w:tc>
      </w:tr>
      <w:tr w:rsidR="00794912" w14:paraId="6209F9FE" w14:textId="77777777" w:rsidTr="00B57CF3">
        <w:trPr>
          <w:trHeight w:hRule="exact" w:val="266"/>
        </w:trPr>
        <w:tc>
          <w:tcPr>
            <w:tcW w:w="6480" w:type="dxa"/>
          </w:tcPr>
          <w:p w14:paraId="0A906F49" w14:textId="29274566" w:rsidR="00794912" w:rsidRDefault="00794912" w:rsidP="00E3667F">
            <w:pPr>
              <w:pStyle w:val="Bodycopy"/>
            </w:pPr>
          </w:p>
        </w:tc>
      </w:tr>
    </w:tbl>
    <w:p w14:paraId="33C86123" w14:textId="00A7719A" w:rsidR="00794912" w:rsidRDefault="00C5126B" w:rsidP="00613768">
      <w:pPr>
        <w:pStyle w:val="Docsubtitle"/>
      </w:pPr>
      <w:r>
        <w:t xml:space="preserve">portfolio changes: </w:t>
      </w:r>
      <w:r w:rsidR="004C2F63">
        <w:t>October</w:t>
      </w:r>
      <w:r>
        <w:t xml:space="preserve"> 2024</w:t>
      </w:r>
    </w:p>
    <w:p w14:paraId="3AF90959" w14:textId="77777777" w:rsidR="00C70745" w:rsidRDefault="00C70745" w:rsidP="00613768">
      <w:pPr>
        <w:pStyle w:val="Docsubtitle"/>
      </w:pPr>
    </w:p>
    <w:p w14:paraId="38651954" w14:textId="6C76689F" w:rsidR="00C70745" w:rsidRDefault="00C70745" w:rsidP="00C70745">
      <w:pPr>
        <w:pStyle w:val="Docsubtitle"/>
        <w:jc w:val="center"/>
      </w:pPr>
      <w:r>
        <w:t xml:space="preserve">The following </w:t>
      </w:r>
      <w:r w:rsidR="00993B45">
        <w:t>CHAnges</w:t>
      </w:r>
      <w:r>
        <w:t xml:space="preserve"> </w:t>
      </w:r>
      <w:r w:rsidRPr="00C70745">
        <w:t>appl</w:t>
      </w:r>
      <w:r>
        <w:t xml:space="preserve">y </w:t>
      </w:r>
      <w:r w:rsidR="00993B45">
        <w:t xml:space="preserve">only </w:t>
      </w:r>
      <w:r w:rsidRPr="00C70745">
        <w:t xml:space="preserve">to </w:t>
      </w:r>
      <w:r>
        <w:t xml:space="preserve">managed </w:t>
      </w:r>
      <w:r w:rsidRPr="00C70745">
        <w:t xml:space="preserve">portfolios on the </w:t>
      </w:r>
      <w:r w:rsidRPr="00785EEF">
        <w:rPr>
          <w:b/>
          <w:bCs/>
        </w:rPr>
        <w:t>AMP MyNorth</w:t>
      </w:r>
      <w:r w:rsidRPr="00C70745">
        <w:t xml:space="preserve"> and </w:t>
      </w:r>
      <w:r w:rsidRPr="00785EEF">
        <w:rPr>
          <w:b/>
          <w:bCs/>
        </w:rPr>
        <w:t>BT Panorama</w:t>
      </w:r>
      <w:r w:rsidRPr="00C70745">
        <w:t xml:space="preserve"> platforms</w:t>
      </w:r>
    </w:p>
    <w:tbl>
      <w:tblPr>
        <w:tblStyle w:val="TableGridLight"/>
        <w:tblW w:w="10440" w:type="dxa"/>
        <w:shd w:val="clear" w:color="auto" w:fill="E3F1FA" w:themeFill="background2" w:themeFillTint="33"/>
        <w:tblLayout w:type="fixed"/>
        <w:tblCellMar>
          <w:top w:w="173" w:type="dxa"/>
          <w:left w:w="216" w:type="dxa"/>
          <w:bottom w:w="173" w:type="dxa"/>
          <w:right w:w="173" w:type="dxa"/>
        </w:tblCellMar>
        <w:tblLook w:val="04A0" w:firstRow="1" w:lastRow="0" w:firstColumn="1" w:lastColumn="0" w:noHBand="0" w:noVBand="1"/>
      </w:tblPr>
      <w:tblGrid>
        <w:gridCol w:w="10440"/>
      </w:tblGrid>
      <w:tr w:rsidR="00B27C4F" w14:paraId="62455756" w14:textId="77777777" w:rsidTr="002D714B">
        <w:trPr>
          <w:trHeight w:val="288"/>
        </w:trPr>
        <w:tc>
          <w:tcPr>
            <w:tcW w:w="10440" w:type="dxa"/>
            <w:tcBorders>
              <w:top w:val="nil"/>
              <w:left w:val="nil"/>
              <w:bottom w:val="single" w:sz="36" w:space="0" w:color="000000" w:themeColor="text1"/>
              <w:right w:val="nil"/>
            </w:tcBorders>
            <w:shd w:val="clear" w:color="auto" w:fill="auto"/>
            <w:tcMar>
              <w:top w:w="0" w:type="dxa"/>
              <w:bottom w:w="0" w:type="dxa"/>
            </w:tcMar>
          </w:tcPr>
          <w:p w14:paraId="7D5934A3" w14:textId="77777777" w:rsidR="00B27C4F" w:rsidRDefault="00B27C4F" w:rsidP="002D714B">
            <w:pPr>
              <w:pStyle w:val="Bodycopy"/>
            </w:pPr>
          </w:p>
        </w:tc>
      </w:tr>
      <w:tr w:rsidR="00B27C4F" w14:paraId="08F2E5FE" w14:textId="77777777" w:rsidTr="002D714B">
        <w:trPr>
          <w:trHeight w:val="288"/>
        </w:trPr>
        <w:tc>
          <w:tcPr>
            <w:tcW w:w="10440" w:type="dxa"/>
            <w:tcBorders>
              <w:top w:val="single" w:sz="36" w:space="0" w:color="000000" w:themeColor="text1"/>
              <w:left w:val="nil"/>
              <w:bottom w:val="nil"/>
              <w:right w:val="nil"/>
            </w:tcBorders>
            <w:shd w:val="clear" w:color="auto" w:fill="E3F1FA" w:themeFill="background2" w:themeFillTint="33"/>
            <w:tcMar>
              <w:top w:w="216" w:type="dxa"/>
            </w:tcMar>
          </w:tcPr>
          <w:p w14:paraId="7C7DA6FA" w14:textId="77777777" w:rsidR="00C5126B" w:rsidRDefault="00C5126B" w:rsidP="002D714B">
            <w:pPr>
              <w:pStyle w:val="Tintedtablecopy"/>
            </w:pPr>
            <w:r>
              <w:t>Dear client,</w:t>
            </w:r>
          </w:p>
          <w:p w14:paraId="45CE396F" w14:textId="26823D31" w:rsidR="00C5126B" w:rsidRDefault="00C5126B" w:rsidP="00C5126B">
            <w:pPr>
              <w:pStyle w:val="Tintedtablecopy"/>
            </w:pPr>
            <w:r>
              <w:t xml:space="preserve">In this note, we provide a short update on recent trade activity and changes to the </w:t>
            </w:r>
            <w:r w:rsidRPr="00A54157">
              <w:rPr>
                <w:b/>
                <w:bCs/>
              </w:rPr>
              <w:t>Russell Investments Sustainable Managed Portfolio – Conservative</w:t>
            </w:r>
            <w:r w:rsidRPr="00A54157">
              <w:t xml:space="preserve">, </w:t>
            </w:r>
            <w:r w:rsidRPr="00A54157">
              <w:rPr>
                <w:b/>
                <w:bCs/>
              </w:rPr>
              <w:t>Diversified 50</w:t>
            </w:r>
            <w:r w:rsidRPr="00A54157">
              <w:t xml:space="preserve">, </w:t>
            </w:r>
            <w:r w:rsidRPr="00A54157">
              <w:rPr>
                <w:b/>
                <w:bCs/>
              </w:rPr>
              <w:t>Balanced</w:t>
            </w:r>
            <w:r w:rsidRPr="00A54157">
              <w:t xml:space="preserve">, </w:t>
            </w:r>
            <w:r w:rsidRPr="00A54157">
              <w:rPr>
                <w:b/>
                <w:bCs/>
              </w:rPr>
              <w:t>Growth</w:t>
            </w:r>
            <w:r w:rsidRPr="00A54157">
              <w:t xml:space="preserve"> and </w:t>
            </w:r>
            <w:r w:rsidRPr="00A54157">
              <w:rPr>
                <w:b/>
                <w:bCs/>
              </w:rPr>
              <w:t>High Growth</w:t>
            </w:r>
            <w:r>
              <w:t xml:space="preserve"> (Portfolios). Here’s a summary of key changes:</w:t>
            </w:r>
          </w:p>
          <w:p w14:paraId="45496E86" w14:textId="7A8A944D" w:rsidR="00067479" w:rsidRPr="00D5226D" w:rsidRDefault="00067479" w:rsidP="00067479">
            <w:pPr>
              <w:pStyle w:val="Tintedtablecopy"/>
              <w:numPr>
                <w:ilvl w:val="0"/>
                <w:numId w:val="39"/>
              </w:numPr>
            </w:pPr>
            <w:r>
              <w:t xml:space="preserve">Added the Russell Investments Sustainable Global </w:t>
            </w:r>
            <w:r w:rsidRPr="00D5226D">
              <w:t xml:space="preserve">Opportunities </w:t>
            </w:r>
            <w:r w:rsidR="00B80791" w:rsidRPr="00D5226D">
              <w:t xml:space="preserve">Complex </w:t>
            </w:r>
            <w:r w:rsidRPr="00D5226D">
              <w:t>ETF.</w:t>
            </w:r>
          </w:p>
          <w:p w14:paraId="482BE062" w14:textId="6676C5A0" w:rsidR="004335B5" w:rsidRDefault="00E12D54" w:rsidP="007F371A">
            <w:pPr>
              <w:pStyle w:val="Tintedtablecopy"/>
              <w:numPr>
                <w:ilvl w:val="0"/>
                <w:numId w:val="39"/>
              </w:numPr>
            </w:pPr>
            <w:r>
              <w:t xml:space="preserve">Removed </w:t>
            </w:r>
            <w:r w:rsidR="001A3336">
              <w:t xml:space="preserve">the </w:t>
            </w:r>
            <w:r>
              <w:t xml:space="preserve">Mirova </w:t>
            </w:r>
            <w:r w:rsidR="00B70AC2">
              <w:t xml:space="preserve">Global </w:t>
            </w:r>
            <w:r>
              <w:t>Sustainable</w:t>
            </w:r>
            <w:r w:rsidR="00B70AC2">
              <w:t xml:space="preserve"> </w:t>
            </w:r>
            <w:r>
              <w:t>Equity</w:t>
            </w:r>
            <w:r w:rsidR="00B70AC2">
              <w:t xml:space="preserve"> No.2 </w:t>
            </w:r>
            <w:r>
              <w:t>Fund</w:t>
            </w:r>
            <w:r w:rsidR="004335B5">
              <w:t>.</w:t>
            </w:r>
          </w:p>
          <w:p w14:paraId="5A00A55D" w14:textId="684627EE" w:rsidR="003B04A0" w:rsidRDefault="004335B5" w:rsidP="007F371A">
            <w:pPr>
              <w:pStyle w:val="Tintedtablecopy"/>
              <w:numPr>
                <w:ilvl w:val="0"/>
                <w:numId w:val="39"/>
              </w:numPr>
            </w:pPr>
            <w:r>
              <w:t>R</w:t>
            </w:r>
            <w:r w:rsidR="00A54157">
              <w:t>educ</w:t>
            </w:r>
            <w:r w:rsidR="003F001D">
              <w:t>ed</w:t>
            </w:r>
            <w:r w:rsidR="005C2157">
              <w:t xml:space="preserve"> </w:t>
            </w:r>
            <w:r w:rsidR="003F001D">
              <w:t xml:space="preserve">the </w:t>
            </w:r>
            <w:r w:rsidR="00A54157">
              <w:t xml:space="preserve">allocation to </w:t>
            </w:r>
            <w:r w:rsidR="003F001D">
              <w:t xml:space="preserve">the </w:t>
            </w:r>
            <w:r w:rsidR="00A54157">
              <w:t>Impax Sustainable Leaders Fund</w:t>
            </w:r>
            <w:r w:rsidR="003B04A0">
              <w:t>.</w:t>
            </w:r>
          </w:p>
          <w:p w14:paraId="2D0F6C90" w14:textId="317AAA96" w:rsidR="00A54157" w:rsidRDefault="003B04A0" w:rsidP="007927EE">
            <w:pPr>
              <w:pStyle w:val="Tintedtablecopy"/>
              <w:numPr>
                <w:ilvl w:val="0"/>
                <w:numId w:val="39"/>
              </w:numPr>
            </w:pPr>
            <w:r>
              <w:t>I</w:t>
            </w:r>
            <w:r w:rsidR="00A54157">
              <w:t>ncrease</w:t>
            </w:r>
            <w:r w:rsidR="003F001D">
              <w:t>d the</w:t>
            </w:r>
            <w:r w:rsidR="00A54157">
              <w:t xml:space="preserve"> allocatio</w:t>
            </w:r>
            <w:r w:rsidR="003F001D">
              <w:t xml:space="preserve">n to the </w:t>
            </w:r>
            <w:r w:rsidR="00A54157" w:rsidRPr="00A54157">
              <w:t>Russell Investments Low Carbon Global Shares F</w:t>
            </w:r>
            <w:r w:rsidR="003F001D">
              <w:t>und.</w:t>
            </w:r>
          </w:p>
          <w:p w14:paraId="69B87C4B" w14:textId="0F5A257E" w:rsidR="00E01D23" w:rsidRDefault="00E01D23" w:rsidP="00A76DAF">
            <w:pPr>
              <w:pStyle w:val="Tintedtablecopy"/>
              <w:numPr>
                <w:ilvl w:val="0"/>
                <w:numId w:val="39"/>
              </w:numPr>
            </w:pPr>
            <w:r>
              <w:t xml:space="preserve">Reduced </w:t>
            </w:r>
            <w:r w:rsidR="005C2157">
              <w:t>exposure to Australian real estate investment trusts in favour of Australian fixed income and cash (</w:t>
            </w:r>
            <w:r w:rsidR="005C2157" w:rsidRPr="00943EE4">
              <w:rPr>
                <w:b/>
                <w:bCs/>
              </w:rPr>
              <w:t>Diversified 50 and Balanced only</w:t>
            </w:r>
            <w:r w:rsidR="005C2157">
              <w:t>).</w:t>
            </w:r>
          </w:p>
          <w:p w14:paraId="19345D7B" w14:textId="72286B5A" w:rsidR="0053773E" w:rsidRPr="0053773E" w:rsidRDefault="005C2157" w:rsidP="005C2157">
            <w:pPr>
              <w:pStyle w:val="Tintedtablecopy"/>
              <w:numPr>
                <w:ilvl w:val="0"/>
                <w:numId w:val="39"/>
              </w:numPr>
            </w:pPr>
            <w:r>
              <w:t>Reduced exposure to Australian real estate investment trusts in favour of global listed infrastructure (</w:t>
            </w:r>
            <w:r w:rsidRPr="00943EE4">
              <w:rPr>
                <w:b/>
                <w:bCs/>
              </w:rPr>
              <w:t>Growth only</w:t>
            </w:r>
            <w:r>
              <w:t>).</w:t>
            </w:r>
          </w:p>
        </w:tc>
      </w:tr>
    </w:tbl>
    <w:p w14:paraId="25DD3D69" w14:textId="07BDC558" w:rsidR="00794912" w:rsidRDefault="00C5126B" w:rsidP="00794912">
      <w:pPr>
        <w:pStyle w:val="Heading1"/>
      </w:pPr>
      <w:r>
        <w:t>Rationale for portfolio changes</w:t>
      </w:r>
    </w:p>
    <w:p w14:paraId="2C1CE8B0" w14:textId="268C71E6" w:rsidR="00067479" w:rsidRPr="00067479" w:rsidRDefault="00C5126B" w:rsidP="00067479">
      <w:pPr>
        <w:pStyle w:val="Heading2"/>
      </w:pPr>
      <w:r w:rsidRPr="0053773E">
        <w:t xml:space="preserve">All </w:t>
      </w:r>
      <w:r w:rsidR="00C84536">
        <w:t>p</w:t>
      </w:r>
      <w:r w:rsidRPr="0053773E">
        <w:t>ortfolios</w:t>
      </w:r>
    </w:p>
    <w:p w14:paraId="1DE3EA42" w14:textId="77777777" w:rsidR="001B0BAE" w:rsidRPr="00693888" w:rsidRDefault="00067479" w:rsidP="0053773E">
      <w:pPr>
        <w:rPr>
          <w:rFonts w:eastAsia="Calibri" w:cs="Times New Roman"/>
          <w:bCs/>
          <w:color w:val="000000" w:themeColor="text1"/>
          <w:szCs w:val="18"/>
        </w:rPr>
      </w:pPr>
      <w:r>
        <w:rPr>
          <w:rFonts w:eastAsia="Calibri" w:cs="Times New Roman"/>
          <w:bCs/>
          <w:color w:val="auto"/>
          <w:szCs w:val="18"/>
        </w:rPr>
        <w:t xml:space="preserve">We added the Russell Investments Sustainable Global </w:t>
      </w:r>
      <w:r w:rsidRPr="00D5226D">
        <w:rPr>
          <w:rFonts w:eastAsia="Calibri" w:cs="Times New Roman"/>
          <w:bCs/>
          <w:color w:val="auto"/>
          <w:szCs w:val="18"/>
        </w:rPr>
        <w:t xml:space="preserve">Opportunities </w:t>
      </w:r>
      <w:r w:rsidR="00115322" w:rsidRPr="00D5226D">
        <w:rPr>
          <w:rFonts w:eastAsia="Calibri" w:cs="Times New Roman"/>
          <w:bCs/>
          <w:color w:val="auto"/>
          <w:szCs w:val="18"/>
        </w:rPr>
        <w:t xml:space="preserve">Complex </w:t>
      </w:r>
      <w:r w:rsidRPr="00D5226D">
        <w:rPr>
          <w:rFonts w:eastAsia="Calibri" w:cs="Times New Roman"/>
          <w:bCs/>
          <w:color w:val="auto"/>
          <w:szCs w:val="18"/>
        </w:rPr>
        <w:t>ETF</w:t>
      </w:r>
      <w:r w:rsidR="00115322" w:rsidRPr="00D5226D">
        <w:rPr>
          <w:rFonts w:eastAsia="Calibri" w:cs="Times New Roman"/>
          <w:bCs/>
          <w:color w:val="auto"/>
          <w:szCs w:val="18"/>
        </w:rPr>
        <w:t xml:space="preserve"> </w:t>
      </w:r>
      <w:r w:rsidR="00941888">
        <w:rPr>
          <w:rFonts w:eastAsia="Calibri" w:cs="Times New Roman"/>
          <w:bCs/>
          <w:color w:val="auto"/>
          <w:szCs w:val="18"/>
        </w:rPr>
        <w:t xml:space="preserve">(RGOS) </w:t>
      </w:r>
      <w:r w:rsidRPr="00D5226D">
        <w:rPr>
          <w:rFonts w:eastAsia="Calibri" w:cs="Times New Roman"/>
          <w:bCs/>
          <w:color w:val="auto"/>
          <w:szCs w:val="18"/>
        </w:rPr>
        <w:t>to the</w:t>
      </w:r>
      <w:r w:rsidR="00B70AC2" w:rsidRPr="00D5226D">
        <w:rPr>
          <w:rFonts w:eastAsia="Calibri" w:cs="Times New Roman"/>
          <w:bCs/>
          <w:color w:val="auto"/>
          <w:szCs w:val="18"/>
        </w:rPr>
        <w:t xml:space="preserve"> </w:t>
      </w:r>
      <w:r w:rsidR="00131083">
        <w:rPr>
          <w:rFonts w:eastAsia="Calibri" w:cs="Times New Roman"/>
          <w:bCs/>
          <w:color w:val="auto"/>
          <w:szCs w:val="18"/>
        </w:rPr>
        <w:t xml:space="preserve">Portfolios’ </w:t>
      </w:r>
      <w:r w:rsidRPr="00D5226D">
        <w:rPr>
          <w:rFonts w:eastAsia="Calibri" w:cs="Times New Roman"/>
          <w:bCs/>
          <w:color w:val="auto"/>
          <w:szCs w:val="18"/>
        </w:rPr>
        <w:t xml:space="preserve">global equity </w:t>
      </w:r>
      <w:r w:rsidR="003F2E35" w:rsidRPr="00D5226D">
        <w:rPr>
          <w:rFonts w:eastAsia="Calibri" w:cs="Times New Roman"/>
          <w:bCs/>
          <w:color w:val="auto"/>
          <w:szCs w:val="18"/>
        </w:rPr>
        <w:t>allocation</w:t>
      </w:r>
      <w:r w:rsidRPr="00D5226D">
        <w:rPr>
          <w:rFonts w:eastAsia="Calibri" w:cs="Times New Roman"/>
          <w:bCs/>
          <w:color w:val="auto"/>
          <w:szCs w:val="18"/>
        </w:rPr>
        <w:t>.</w:t>
      </w:r>
      <w:r w:rsidR="00131083">
        <w:rPr>
          <w:rFonts w:eastAsia="Calibri" w:cs="Times New Roman"/>
          <w:bCs/>
          <w:color w:val="auto"/>
          <w:szCs w:val="18"/>
        </w:rPr>
        <w:t xml:space="preserve"> </w:t>
      </w:r>
      <w:r w:rsidRPr="00D5226D">
        <w:rPr>
          <w:rFonts w:eastAsia="Calibri" w:cs="Times New Roman"/>
          <w:bCs/>
          <w:color w:val="auto"/>
          <w:szCs w:val="18"/>
        </w:rPr>
        <w:t xml:space="preserve">Launched in April of this year, </w:t>
      </w:r>
      <w:r w:rsidR="00941888">
        <w:rPr>
          <w:rFonts w:eastAsia="Calibri" w:cs="Times New Roman"/>
          <w:bCs/>
          <w:color w:val="auto"/>
          <w:szCs w:val="18"/>
        </w:rPr>
        <w:t>RGOS</w:t>
      </w:r>
      <w:r w:rsidRPr="00D5226D">
        <w:rPr>
          <w:rFonts w:eastAsia="Calibri" w:cs="Times New Roman"/>
          <w:bCs/>
          <w:color w:val="auto"/>
          <w:szCs w:val="18"/>
        </w:rPr>
        <w:t xml:space="preserve"> is</w:t>
      </w:r>
      <w:r>
        <w:rPr>
          <w:rFonts w:eastAsia="Calibri" w:cs="Times New Roman"/>
          <w:bCs/>
          <w:color w:val="auto"/>
          <w:szCs w:val="18"/>
        </w:rPr>
        <w:t xml:space="preserve"> an </w:t>
      </w:r>
      <w:r w:rsidRPr="000D2975">
        <w:rPr>
          <w:rFonts w:eastAsia="Calibri" w:cs="Times New Roman"/>
          <w:bCs/>
          <w:color w:val="auto"/>
          <w:szCs w:val="18"/>
        </w:rPr>
        <w:t>active ETF</w:t>
      </w:r>
      <w:r w:rsidR="00115322" w:rsidRPr="000D2975">
        <w:rPr>
          <w:rFonts w:eastAsia="Calibri" w:cs="Times New Roman"/>
          <w:bCs/>
          <w:color w:val="auto"/>
          <w:szCs w:val="18"/>
        </w:rPr>
        <w:t xml:space="preserve"> </w:t>
      </w:r>
      <w:r w:rsidR="003E2613" w:rsidRPr="00693888">
        <w:rPr>
          <w:rFonts w:eastAsia="Calibri" w:cs="Times New Roman"/>
          <w:bCs/>
          <w:color w:val="000000" w:themeColor="text1"/>
          <w:szCs w:val="18"/>
        </w:rPr>
        <w:t>which</w:t>
      </w:r>
      <w:r w:rsidR="00115322" w:rsidRPr="00693888">
        <w:rPr>
          <w:rFonts w:eastAsia="Calibri" w:cs="Times New Roman"/>
          <w:bCs/>
          <w:color w:val="000000" w:themeColor="text1"/>
          <w:szCs w:val="18"/>
        </w:rPr>
        <w:t xml:space="preserve"> </w:t>
      </w:r>
      <w:r w:rsidR="000D2A16" w:rsidRPr="00693888">
        <w:rPr>
          <w:rFonts w:eastAsia="Calibri" w:cs="Times New Roman"/>
          <w:bCs/>
          <w:color w:val="000000" w:themeColor="text1"/>
          <w:szCs w:val="18"/>
        </w:rPr>
        <w:t xml:space="preserve">incorporates the investment strategies of </w:t>
      </w:r>
      <w:r w:rsidR="00941888" w:rsidRPr="00693888">
        <w:rPr>
          <w:rFonts w:eastAsia="Calibri" w:cs="Times New Roman"/>
          <w:bCs/>
          <w:color w:val="000000" w:themeColor="text1"/>
          <w:szCs w:val="18"/>
        </w:rPr>
        <w:t xml:space="preserve">multiple </w:t>
      </w:r>
      <w:r w:rsidR="000D2A16" w:rsidRPr="00693888">
        <w:rPr>
          <w:rFonts w:eastAsia="Calibri" w:cs="Times New Roman"/>
          <w:bCs/>
          <w:color w:val="000000" w:themeColor="text1"/>
          <w:szCs w:val="18"/>
        </w:rPr>
        <w:t xml:space="preserve">global ESG specialist investment </w:t>
      </w:r>
      <w:r w:rsidR="00941888" w:rsidRPr="00693888">
        <w:rPr>
          <w:rFonts w:eastAsia="Calibri" w:cs="Times New Roman"/>
          <w:bCs/>
          <w:color w:val="000000" w:themeColor="text1"/>
          <w:szCs w:val="18"/>
        </w:rPr>
        <w:t>managers</w:t>
      </w:r>
      <w:r w:rsidR="00B32B18" w:rsidRPr="00693888">
        <w:rPr>
          <w:rFonts w:eastAsia="Calibri" w:cs="Times New Roman"/>
          <w:bCs/>
          <w:color w:val="000000" w:themeColor="text1"/>
          <w:szCs w:val="18"/>
        </w:rPr>
        <w:t xml:space="preserve"> within a single </w:t>
      </w:r>
      <w:r w:rsidR="003E2613" w:rsidRPr="00693888">
        <w:rPr>
          <w:rFonts w:eastAsia="Calibri" w:cs="Times New Roman"/>
          <w:bCs/>
          <w:color w:val="000000" w:themeColor="text1"/>
          <w:szCs w:val="18"/>
        </w:rPr>
        <w:t xml:space="preserve">investment </w:t>
      </w:r>
      <w:r w:rsidR="00B32B18" w:rsidRPr="00693888">
        <w:rPr>
          <w:rFonts w:eastAsia="Calibri" w:cs="Times New Roman"/>
          <w:bCs/>
          <w:color w:val="000000" w:themeColor="text1"/>
          <w:szCs w:val="18"/>
        </w:rPr>
        <w:t>product</w:t>
      </w:r>
      <w:r w:rsidR="00115322" w:rsidRPr="00693888">
        <w:rPr>
          <w:rFonts w:eastAsia="Calibri" w:cs="Times New Roman"/>
          <w:bCs/>
          <w:color w:val="000000" w:themeColor="text1"/>
          <w:szCs w:val="18"/>
        </w:rPr>
        <w:t>.</w:t>
      </w:r>
      <w:r w:rsidR="00B53319" w:rsidRPr="00693888">
        <w:rPr>
          <w:rFonts w:eastAsia="Calibri" w:cs="Times New Roman"/>
          <w:bCs/>
          <w:color w:val="000000" w:themeColor="text1"/>
          <w:szCs w:val="18"/>
        </w:rPr>
        <w:t xml:space="preserve"> These strategies allow Russell Investments to combine a mix of investment styles focusing on value, quality and growth.</w:t>
      </w:r>
    </w:p>
    <w:p w14:paraId="47FC9289" w14:textId="300A802C" w:rsidR="00060EDA" w:rsidRDefault="00115322" w:rsidP="0053773E">
      <w:pPr>
        <w:rPr>
          <w:rFonts w:eastAsia="Calibri" w:cs="Times New Roman"/>
          <w:bCs/>
          <w:color w:val="auto"/>
          <w:szCs w:val="18"/>
        </w:rPr>
      </w:pPr>
      <w:r w:rsidRPr="00693888">
        <w:rPr>
          <w:rFonts w:eastAsia="Calibri" w:cs="Times New Roman"/>
          <w:bCs/>
          <w:color w:val="000000" w:themeColor="text1"/>
          <w:szCs w:val="18"/>
        </w:rPr>
        <w:t>At least 80% of</w:t>
      </w:r>
      <w:r w:rsidR="005C2D75" w:rsidRPr="00693888">
        <w:rPr>
          <w:rFonts w:eastAsia="Calibri" w:cs="Times New Roman"/>
          <w:bCs/>
          <w:color w:val="000000" w:themeColor="text1"/>
          <w:szCs w:val="18"/>
        </w:rPr>
        <w:t xml:space="preserve"> </w:t>
      </w:r>
      <w:r w:rsidR="00941888" w:rsidRPr="00693888">
        <w:rPr>
          <w:rFonts w:eastAsia="Calibri" w:cs="Times New Roman"/>
          <w:bCs/>
          <w:color w:val="000000" w:themeColor="text1"/>
          <w:szCs w:val="18"/>
        </w:rPr>
        <w:t>RGOS</w:t>
      </w:r>
      <w:r w:rsidR="00076BCE" w:rsidRPr="00693888">
        <w:rPr>
          <w:rFonts w:eastAsia="Calibri" w:cs="Times New Roman"/>
          <w:bCs/>
          <w:color w:val="000000" w:themeColor="text1"/>
          <w:szCs w:val="18"/>
        </w:rPr>
        <w:t xml:space="preserve"> </w:t>
      </w:r>
      <w:r w:rsidRPr="00693888">
        <w:rPr>
          <w:rFonts w:eastAsia="Calibri" w:cs="Times New Roman"/>
          <w:bCs/>
          <w:color w:val="000000" w:themeColor="text1"/>
          <w:szCs w:val="18"/>
        </w:rPr>
        <w:t xml:space="preserve">is invested in shares and equity-related securities selected by Russell Investments based on advice received from investment managers pursuing a sustainable strategy. In addition, </w:t>
      </w:r>
      <w:r w:rsidR="00941888" w:rsidRPr="00693888">
        <w:rPr>
          <w:rFonts w:eastAsia="Calibri" w:cs="Times New Roman"/>
          <w:bCs/>
          <w:color w:val="000000" w:themeColor="text1"/>
          <w:szCs w:val="18"/>
        </w:rPr>
        <w:t>RGOS</w:t>
      </w:r>
      <w:r w:rsidRPr="00693888">
        <w:rPr>
          <w:rFonts w:eastAsia="Calibri" w:cs="Times New Roman"/>
          <w:bCs/>
          <w:color w:val="000000" w:themeColor="text1"/>
          <w:szCs w:val="18"/>
        </w:rPr>
        <w:t xml:space="preserve"> is managed in line with the climate objectives set out in the 2015 Paris Agreement adopted under the United Nations Framework </w:t>
      </w:r>
      <w:r w:rsidRPr="000B29C3">
        <w:rPr>
          <w:rFonts w:eastAsia="Calibri" w:cs="Times New Roman"/>
          <w:bCs/>
          <w:color w:val="auto"/>
          <w:szCs w:val="18"/>
        </w:rPr>
        <w:t>Convention on Climate Change.</w:t>
      </w:r>
      <w:r w:rsidR="00494E76" w:rsidRPr="000B29C3">
        <w:rPr>
          <w:rFonts w:eastAsia="Calibri" w:cs="Times New Roman"/>
          <w:bCs/>
          <w:color w:val="auto"/>
          <w:szCs w:val="18"/>
        </w:rPr>
        <w:t xml:space="preserve"> Specifically, it has targets in relation to carbon emissions reduction, and net zero alignment and net zero engagement.</w:t>
      </w:r>
      <w:r w:rsidR="005C2D75">
        <w:rPr>
          <w:rFonts w:eastAsia="Calibri" w:cs="Times New Roman"/>
          <w:bCs/>
          <w:color w:val="auto"/>
          <w:szCs w:val="18"/>
        </w:rPr>
        <w:t xml:space="preserve"> </w:t>
      </w:r>
      <w:r w:rsidR="00941888">
        <w:rPr>
          <w:rFonts w:eastAsia="Calibri" w:cs="Times New Roman"/>
          <w:bCs/>
          <w:color w:val="auto"/>
          <w:szCs w:val="18"/>
        </w:rPr>
        <w:t>RGOS</w:t>
      </w:r>
      <w:r w:rsidR="00060EDA" w:rsidRPr="000B29C3">
        <w:rPr>
          <w:rFonts w:eastAsia="Calibri" w:cs="Times New Roman"/>
          <w:bCs/>
          <w:color w:val="auto"/>
          <w:szCs w:val="18"/>
        </w:rPr>
        <w:t xml:space="preserve"> also has a process to exclude companies</w:t>
      </w:r>
      <w:r w:rsidR="00B51CF9" w:rsidRPr="000B29C3">
        <w:rPr>
          <w:rFonts w:eastAsia="Calibri" w:cs="Times New Roman"/>
          <w:bCs/>
          <w:color w:val="auto"/>
          <w:szCs w:val="18"/>
        </w:rPr>
        <w:t xml:space="preserve"> </w:t>
      </w:r>
      <w:r w:rsidR="00060EDA" w:rsidRPr="000B29C3">
        <w:rPr>
          <w:rFonts w:eastAsia="Calibri" w:cs="Times New Roman"/>
          <w:bCs/>
          <w:color w:val="auto"/>
          <w:szCs w:val="18"/>
        </w:rPr>
        <w:t>Russell Investments</w:t>
      </w:r>
      <w:r w:rsidR="00060EDA" w:rsidRPr="00060EDA">
        <w:rPr>
          <w:rFonts w:eastAsia="Calibri" w:cs="Times New Roman"/>
          <w:bCs/>
          <w:color w:val="auto"/>
          <w:szCs w:val="18"/>
        </w:rPr>
        <w:t xml:space="preserve"> does</w:t>
      </w:r>
      <w:r w:rsidR="00E761FC">
        <w:rPr>
          <w:rFonts w:eastAsia="Calibri" w:cs="Times New Roman"/>
          <w:bCs/>
          <w:color w:val="auto"/>
          <w:szCs w:val="18"/>
        </w:rPr>
        <w:t xml:space="preserve"> </w:t>
      </w:r>
      <w:r w:rsidR="00060EDA" w:rsidRPr="00060EDA">
        <w:rPr>
          <w:rFonts w:eastAsia="Calibri" w:cs="Times New Roman"/>
          <w:bCs/>
          <w:color w:val="auto"/>
          <w:szCs w:val="18"/>
        </w:rPr>
        <w:t>n</w:t>
      </w:r>
      <w:r w:rsidR="00E761FC">
        <w:rPr>
          <w:rFonts w:eastAsia="Calibri" w:cs="Times New Roman"/>
          <w:bCs/>
          <w:color w:val="auto"/>
          <w:szCs w:val="18"/>
        </w:rPr>
        <w:t>o</w:t>
      </w:r>
      <w:r w:rsidR="00060EDA" w:rsidRPr="00060EDA">
        <w:rPr>
          <w:rFonts w:eastAsia="Calibri" w:cs="Times New Roman"/>
          <w:bCs/>
          <w:color w:val="auto"/>
          <w:szCs w:val="18"/>
        </w:rPr>
        <w:t>t consider sustainable</w:t>
      </w:r>
      <w:r w:rsidR="00060EDA">
        <w:rPr>
          <w:rFonts w:eastAsia="Calibri" w:cs="Times New Roman"/>
          <w:bCs/>
          <w:color w:val="auto"/>
          <w:szCs w:val="18"/>
        </w:rPr>
        <w:t>.</w:t>
      </w:r>
    </w:p>
    <w:p w14:paraId="4D5D4B6E" w14:textId="15309776" w:rsidR="00493AA7" w:rsidRPr="00C66472" w:rsidRDefault="00493AA7" w:rsidP="00493AA7">
      <w:pPr>
        <w:rPr>
          <w:rFonts w:eastAsia="Calibri" w:cs="Times New Roman"/>
          <w:bCs/>
          <w:color w:val="auto"/>
          <w:szCs w:val="18"/>
        </w:rPr>
      </w:pPr>
      <w:r>
        <w:rPr>
          <w:rFonts w:eastAsia="Calibri" w:cs="Times New Roman"/>
          <w:bCs/>
          <w:color w:val="auto"/>
          <w:szCs w:val="18"/>
        </w:rPr>
        <w:t xml:space="preserve">The allocation to </w:t>
      </w:r>
      <w:r w:rsidR="00941888">
        <w:rPr>
          <w:rFonts w:eastAsia="Calibri" w:cs="Times New Roman"/>
          <w:bCs/>
          <w:color w:val="auto"/>
          <w:szCs w:val="18"/>
        </w:rPr>
        <w:t>RGOS</w:t>
      </w:r>
      <w:r w:rsidRPr="00D5226D">
        <w:rPr>
          <w:rFonts w:eastAsia="Calibri" w:cs="Times New Roman"/>
          <w:bCs/>
          <w:color w:val="auto"/>
          <w:szCs w:val="18"/>
        </w:rPr>
        <w:t xml:space="preserve"> was</w:t>
      </w:r>
      <w:r>
        <w:rPr>
          <w:rFonts w:eastAsia="Calibri" w:cs="Times New Roman"/>
          <w:bCs/>
          <w:color w:val="auto"/>
          <w:szCs w:val="18"/>
        </w:rPr>
        <w:t xml:space="preserve"> </w:t>
      </w:r>
      <w:r w:rsidRPr="00B70AC2">
        <w:rPr>
          <w:rFonts w:eastAsia="Calibri" w:cs="Times New Roman"/>
          <w:bCs/>
          <w:color w:val="auto"/>
          <w:szCs w:val="18"/>
        </w:rPr>
        <w:t>funded by removing the Mirova Global Sustainable Equity No.2 Fund and reducing</w:t>
      </w:r>
      <w:r w:rsidR="004A6DFB" w:rsidRPr="00B70AC2">
        <w:rPr>
          <w:rFonts w:eastAsia="Calibri" w:cs="Times New Roman"/>
          <w:bCs/>
          <w:color w:val="auto"/>
          <w:szCs w:val="18"/>
        </w:rPr>
        <w:t xml:space="preserve"> </w:t>
      </w:r>
      <w:r w:rsidRPr="00B70AC2">
        <w:rPr>
          <w:rFonts w:eastAsia="Calibri" w:cs="Times New Roman"/>
          <w:bCs/>
          <w:color w:val="auto"/>
          <w:szCs w:val="18"/>
        </w:rPr>
        <w:t>exposure to the Impax Sustainable Leaders Fund.</w:t>
      </w:r>
      <w:r w:rsidR="002D14A8" w:rsidRPr="00B70AC2">
        <w:rPr>
          <w:rFonts w:eastAsia="Calibri" w:cs="Times New Roman"/>
          <w:bCs/>
          <w:color w:val="auto"/>
          <w:szCs w:val="18"/>
        </w:rPr>
        <w:t xml:space="preserve"> </w:t>
      </w:r>
      <w:r w:rsidR="00C66472" w:rsidRPr="00B70AC2">
        <w:rPr>
          <w:rFonts w:eastAsia="Calibri" w:cs="Times New Roman"/>
          <w:bCs/>
          <w:color w:val="auto"/>
          <w:szCs w:val="18"/>
        </w:rPr>
        <w:t>[</w:t>
      </w:r>
      <w:r w:rsidR="002D14A8" w:rsidRPr="00890CDF">
        <w:rPr>
          <w:rFonts w:eastAsia="Calibri" w:cs="Times New Roman"/>
          <w:bCs/>
          <w:i/>
          <w:iCs/>
          <w:color w:val="auto"/>
          <w:szCs w:val="18"/>
        </w:rPr>
        <w:t xml:space="preserve">Note: The Mirova Global </w:t>
      </w:r>
      <w:r w:rsidR="002D14A8" w:rsidRPr="00D5226D">
        <w:rPr>
          <w:rFonts w:eastAsia="Calibri" w:cs="Times New Roman"/>
          <w:bCs/>
          <w:i/>
          <w:iCs/>
          <w:color w:val="auto"/>
          <w:szCs w:val="18"/>
        </w:rPr>
        <w:t>Sustainable Equity No.2 Fund is one of the four strategies included i</w:t>
      </w:r>
      <w:r w:rsidR="005C2D75">
        <w:rPr>
          <w:rFonts w:eastAsia="Calibri" w:cs="Times New Roman"/>
          <w:bCs/>
          <w:i/>
          <w:iCs/>
          <w:color w:val="auto"/>
          <w:szCs w:val="18"/>
        </w:rPr>
        <w:t xml:space="preserve">n </w:t>
      </w:r>
      <w:r w:rsidR="00941888">
        <w:rPr>
          <w:rFonts w:eastAsia="Calibri" w:cs="Times New Roman"/>
          <w:bCs/>
          <w:i/>
          <w:iCs/>
          <w:color w:val="auto"/>
          <w:szCs w:val="18"/>
        </w:rPr>
        <w:t>RGOS</w:t>
      </w:r>
      <w:r w:rsidR="002D14A8" w:rsidRPr="00D5226D">
        <w:rPr>
          <w:rFonts w:eastAsia="Calibri" w:cs="Times New Roman"/>
          <w:bCs/>
          <w:i/>
          <w:iCs/>
          <w:color w:val="auto"/>
          <w:szCs w:val="18"/>
        </w:rPr>
        <w:t>.</w:t>
      </w:r>
      <w:r w:rsidR="00C66472" w:rsidRPr="00D5226D">
        <w:rPr>
          <w:rFonts w:eastAsia="Calibri" w:cs="Times New Roman"/>
          <w:bCs/>
          <w:color w:val="auto"/>
          <w:szCs w:val="18"/>
        </w:rPr>
        <w:t>]</w:t>
      </w:r>
    </w:p>
    <w:p w14:paraId="5C5B0B02" w14:textId="0EEEE758" w:rsidR="00660921" w:rsidRDefault="00CF7571" w:rsidP="00493AA7">
      <w:pPr>
        <w:rPr>
          <w:rFonts w:eastAsia="Calibri" w:cs="Times New Roman"/>
          <w:bCs/>
          <w:color w:val="auto"/>
          <w:szCs w:val="18"/>
        </w:rPr>
      </w:pPr>
      <w:r>
        <w:rPr>
          <w:rFonts w:eastAsia="Calibri" w:cs="Times New Roman"/>
          <w:bCs/>
          <w:color w:val="auto"/>
          <w:szCs w:val="18"/>
        </w:rPr>
        <w:t>We also</w:t>
      </w:r>
      <w:r w:rsidR="005E2232">
        <w:rPr>
          <w:rFonts w:eastAsia="Calibri" w:cs="Times New Roman"/>
          <w:bCs/>
          <w:color w:val="auto"/>
          <w:szCs w:val="18"/>
        </w:rPr>
        <w:t xml:space="preserve"> increased the Portfolios’ allocation to the Russell Investments Low Carbon Global Shares Fund.</w:t>
      </w:r>
      <w:r w:rsidR="009542C4">
        <w:rPr>
          <w:rFonts w:eastAsia="Calibri" w:cs="Times New Roman"/>
          <w:bCs/>
          <w:color w:val="auto"/>
          <w:szCs w:val="18"/>
        </w:rPr>
        <w:t xml:space="preserve"> </w:t>
      </w:r>
      <w:r w:rsidR="00660921">
        <w:rPr>
          <w:rFonts w:eastAsia="Calibri" w:cs="Times New Roman"/>
          <w:bCs/>
          <w:color w:val="auto"/>
          <w:szCs w:val="18"/>
        </w:rPr>
        <w:t>Th</w:t>
      </w:r>
      <w:r w:rsidR="00E761FC">
        <w:rPr>
          <w:rFonts w:eastAsia="Calibri" w:cs="Times New Roman"/>
          <w:bCs/>
          <w:color w:val="auto"/>
          <w:szCs w:val="18"/>
        </w:rPr>
        <w:t xml:space="preserve">is </w:t>
      </w:r>
      <w:r w:rsidR="00660921">
        <w:rPr>
          <w:rFonts w:eastAsia="Calibri" w:cs="Times New Roman"/>
          <w:bCs/>
          <w:color w:val="auto"/>
          <w:szCs w:val="18"/>
        </w:rPr>
        <w:t>Fund</w:t>
      </w:r>
      <w:r w:rsidR="00660921" w:rsidRPr="00660921">
        <w:rPr>
          <w:rFonts w:eastAsia="Calibri" w:cs="Times New Roman"/>
          <w:bCs/>
          <w:color w:val="auto"/>
          <w:szCs w:val="18"/>
        </w:rPr>
        <w:t xml:space="preserve"> targets reduc</w:t>
      </w:r>
      <w:r w:rsidR="00EE07B9">
        <w:rPr>
          <w:rFonts w:eastAsia="Calibri" w:cs="Times New Roman"/>
          <w:bCs/>
          <w:color w:val="auto"/>
          <w:szCs w:val="18"/>
        </w:rPr>
        <w:t>ed</w:t>
      </w:r>
      <w:r w:rsidR="00660921" w:rsidRPr="00660921">
        <w:rPr>
          <w:rFonts w:eastAsia="Calibri" w:cs="Times New Roman"/>
          <w:bCs/>
          <w:color w:val="auto"/>
          <w:szCs w:val="18"/>
        </w:rPr>
        <w:t xml:space="preserve"> carbon exposure</w:t>
      </w:r>
      <w:r w:rsidR="00D24613">
        <w:rPr>
          <w:rFonts w:eastAsia="Calibri" w:cs="Times New Roman"/>
          <w:bCs/>
          <w:color w:val="auto"/>
          <w:szCs w:val="18"/>
        </w:rPr>
        <w:t xml:space="preserve"> – </w:t>
      </w:r>
      <w:r w:rsidR="00660921" w:rsidRPr="00660921">
        <w:rPr>
          <w:rFonts w:eastAsia="Calibri" w:cs="Times New Roman"/>
          <w:bCs/>
          <w:color w:val="auto"/>
          <w:szCs w:val="18"/>
        </w:rPr>
        <w:t>and increase</w:t>
      </w:r>
      <w:r w:rsidR="00EE07B9">
        <w:rPr>
          <w:rFonts w:eastAsia="Calibri" w:cs="Times New Roman"/>
          <w:bCs/>
          <w:color w:val="auto"/>
          <w:szCs w:val="18"/>
        </w:rPr>
        <w:t xml:space="preserve">d </w:t>
      </w:r>
      <w:r w:rsidR="00660921" w:rsidRPr="00660921">
        <w:rPr>
          <w:rFonts w:eastAsia="Calibri" w:cs="Times New Roman"/>
          <w:bCs/>
          <w:color w:val="auto"/>
          <w:szCs w:val="18"/>
        </w:rPr>
        <w:t>renewable energy</w:t>
      </w:r>
      <w:r w:rsidR="00EE07B9">
        <w:rPr>
          <w:rFonts w:eastAsia="Calibri" w:cs="Times New Roman"/>
          <w:bCs/>
          <w:color w:val="auto"/>
          <w:szCs w:val="18"/>
        </w:rPr>
        <w:t xml:space="preserve"> exposure</w:t>
      </w:r>
      <w:r w:rsidR="00D24613">
        <w:rPr>
          <w:rFonts w:eastAsia="Calibri" w:cs="Times New Roman"/>
          <w:bCs/>
          <w:color w:val="auto"/>
          <w:szCs w:val="18"/>
        </w:rPr>
        <w:t xml:space="preserve"> – </w:t>
      </w:r>
      <w:r w:rsidR="00660921" w:rsidRPr="00660921">
        <w:rPr>
          <w:rFonts w:eastAsia="Calibri" w:cs="Times New Roman"/>
          <w:bCs/>
          <w:color w:val="auto"/>
          <w:szCs w:val="18"/>
        </w:rPr>
        <w:t xml:space="preserve">compared to </w:t>
      </w:r>
      <w:r w:rsidR="00660921">
        <w:rPr>
          <w:rFonts w:eastAsia="Calibri" w:cs="Times New Roman"/>
          <w:bCs/>
          <w:color w:val="auto"/>
          <w:szCs w:val="18"/>
        </w:rPr>
        <w:t>its</w:t>
      </w:r>
      <w:r w:rsidR="00660921" w:rsidRPr="00660921">
        <w:rPr>
          <w:rFonts w:eastAsia="Calibri" w:cs="Times New Roman"/>
          <w:bCs/>
          <w:color w:val="auto"/>
          <w:szCs w:val="18"/>
        </w:rPr>
        <w:t xml:space="preserve"> </w:t>
      </w:r>
      <w:r w:rsidR="00660921">
        <w:rPr>
          <w:rFonts w:eastAsia="Calibri" w:cs="Times New Roman"/>
          <w:bCs/>
          <w:color w:val="auto"/>
          <w:szCs w:val="18"/>
        </w:rPr>
        <w:t>b</w:t>
      </w:r>
      <w:r w:rsidR="00660921" w:rsidRPr="00660921">
        <w:rPr>
          <w:rFonts w:eastAsia="Calibri" w:cs="Times New Roman"/>
          <w:bCs/>
          <w:color w:val="auto"/>
          <w:szCs w:val="18"/>
        </w:rPr>
        <w:t xml:space="preserve">enchmark. </w:t>
      </w:r>
      <w:r w:rsidR="00E761FC">
        <w:rPr>
          <w:rFonts w:eastAsia="Calibri" w:cs="Times New Roman"/>
          <w:bCs/>
          <w:color w:val="auto"/>
          <w:szCs w:val="18"/>
        </w:rPr>
        <w:t>It</w:t>
      </w:r>
      <w:r w:rsidR="005C0A0E">
        <w:rPr>
          <w:rFonts w:eastAsia="Calibri" w:cs="Times New Roman"/>
          <w:bCs/>
          <w:color w:val="auto"/>
          <w:szCs w:val="18"/>
        </w:rPr>
        <w:t xml:space="preserve"> also</w:t>
      </w:r>
      <w:r w:rsidR="00660921" w:rsidRPr="00660921">
        <w:rPr>
          <w:rFonts w:eastAsia="Calibri" w:cs="Times New Roman"/>
          <w:bCs/>
          <w:color w:val="auto"/>
          <w:szCs w:val="18"/>
        </w:rPr>
        <w:t xml:space="preserve"> employs certain investment exclusions.</w:t>
      </w:r>
    </w:p>
    <w:p w14:paraId="3C9841B3" w14:textId="7096433A" w:rsidR="0053773E" w:rsidRDefault="00C84536" w:rsidP="0053773E">
      <w:pPr>
        <w:pStyle w:val="Heading2"/>
      </w:pPr>
      <w:r w:rsidRPr="00C84536">
        <w:lastRenderedPageBreak/>
        <w:t>Russell Investments Sustainable Managed Portfolio</w:t>
      </w:r>
      <w:r>
        <w:t xml:space="preserve"> – </w:t>
      </w:r>
      <w:r w:rsidR="0053773E">
        <w:t>Diversified 50 and Balanced</w:t>
      </w:r>
      <w:r>
        <w:t xml:space="preserve"> only</w:t>
      </w:r>
    </w:p>
    <w:p w14:paraId="60D2077F" w14:textId="36C8AF8C" w:rsidR="009B1DAF" w:rsidRDefault="00943EE4" w:rsidP="009B1DAF">
      <w:pPr>
        <w:rPr>
          <w:rFonts w:eastAsia="Calibri" w:cs="Times New Roman"/>
          <w:bCs/>
          <w:color w:val="auto"/>
          <w:szCs w:val="18"/>
        </w:rPr>
      </w:pPr>
      <w:r w:rsidRPr="00943EE4">
        <w:rPr>
          <w:rFonts w:eastAsia="Calibri" w:cs="Times New Roman"/>
          <w:bCs/>
          <w:color w:val="auto"/>
          <w:szCs w:val="18"/>
        </w:rPr>
        <w:t xml:space="preserve">We reduced the Portfolios’ allocation to Australian real estate investment </w:t>
      </w:r>
      <w:r w:rsidRPr="00D5226D">
        <w:rPr>
          <w:rFonts w:eastAsia="Calibri" w:cs="Times New Roman"/>
          <w:bCs/>
          <w:color w:val="auto"/>
          <w:szCs w:val="18"/>
        </w:rPr>
        <w:t>trusts (A-REITs) in favour of Australian fixed income and cash.</w:t>
      </w:r>
      <w:r w:rsidR="00115CC7" w:rsidRPr="00D5226D">
        <w:rPr>
          <w:rFonts w:eastAsia="Calibri" w:cs="Times New Roman"/>
          <w:bCs/>
          <w:color w:val="auto"/>
          <w:szCs w:val="18"/>
        </w:rPr>
        <w:t xml:space="preserve"> </w:t>
      </w:r>
      <w:r w:rsidR="009B1DAF" w:rsidRPr="00D5226D">
        <w:rPr>
          <w:rFonts w:eastAsia="Calibri" w:cs="Times New Roman"/>
          <w:bCs/>
          <w:color w:val="auto"/>
          <w:szCs w:val="18"/>
        </w:rPr>
        <w:t>The Portfolios have held a material overweight to A-REITs (relative to the benchmark)</w:t>
      </w:r>
      <w:r w:rsidR="00115CC7" w:rsidRPr="00D5226D">
        <w:rPr>
          <w:rFonts w:eastAsia="Calibri" w:cs="Times New Roman"/>
          <w:bCs/>
          <w:color w:val="auto"/>
          <w:szCs w:val="18"/>
        </w:rPr>
        <w:t xml:space="preserve"> for some time</w:t>
      </w:r>
      <w:r w:rsidR="00F4068B" w:rsidRPr="00D5226D">
        <w:rPr>
          <w:rFonts w:eastAsia="Calibri" w:cs="Times New Roman"/>
          <w:bCs/>
          <w:color w:val="auto"/>
          <w:szCs w:val="18"/>
        </w:rPr>
        <w:t xml:space="preserve">; positioning which has </w:t>
      </w:r>
      <w:r w:rsidR="0004492B" w:rsidRPr="00D5226D">
        <w:rPr>
          <w:rFonts w:eastAsia="Calibri" w:cs="Times New Roman"/>
          <w:bCs/>
          <w:color w:val="auto"/>
          <w:szCs w:val="18"/>
        </w:rPr>
        <w:t xml:space="preserve">contributed </w:t>
      </w:r>
      <w:r w:rsidR="00A44F83" w:rsidRPr="00D5226D">
        <w:rPr>
          <w:rFonts w:eastAsia="Calibri" w:cs="Times New Roman"/>
          <w:bCs/>
          <w:color w:val="auto"/>
          <w:szCs w:val="18"/>
        </w:rPr>
        <w:t xml:space="preserve">strongly </w:t>
      </w:r>
      <w:r w:rsidR="0004492B" w:rsidRPr="00D5226D">
        <w:rPr>
          <w:rFonts w:eastAsia="Calibri" w:cs="Times New Roman"/>
          <w:bCs/>
          <w:color w:val="auto"/>
          <w:szCs w:val="18"/>
        </w:rPr>
        <w:t xml:space="preserve">to </w:t>
      </w:r>
      <w:r w:rsidR="003A7FD5" w:rsidRPr="00D5226D">
        <w:rPr>
          <w:rFonts w:eastAsia="Calibri" w:cs="Times New Roman"/>
          <w:bCs/>
          <w:color w:val="auto"/>
          <w:szCs w:val="18"/>
        </w:rPr>
        <w:t xml:space="preserve">excess </w:t>
      </w:r>
      <w:r w:rsidR="0004492B" w:rsidRPr="00D5226D">
        <w:rPr>
          <w:rFonts w:eastAsia="Calibri" w:cs="Times New Roman"/>
          <w:bCs/>
          <w:color w:val="auto"/>
          <w:szCs w:val="18"/>
        </w:rPr>
        <w:t>returns</w:t>
      </w:r>
      <w:r w:rsidR="009B1DAF" w:rsidRPr="00D5226D">
        <w:rPr>
          <w:rFonts w:eastAsia="Calibri" w:cs="Times New Roman"/>
          <w:bCs/>
          <w:color w:val="auto"/>
          <w:szCs w:val="18"/>
        </w:rPr>
        <w:t>.</w:t>
      </w:r>
      <w:r w:rsidR="0004492B" w:rsidRPr="00D5226D">
        <w:rPr>
          <w:rFonts w:eastAsia="Calibri" w:cs="Times New Roman"/>
          <w:bCs/>
          <w:color w:val="auto"/>
          <w:szCs w:val="18"/>
        </w:rPr>
        <w:t xml:space="preserve"> </w:t>
      </w:r>
      <w:r w:rsidR="009B1DAF" w:rsidRPr="00D5226D">
        <w:rPr>
          <w:rFonts w:eastAsia="Calibri" w:cs="Times New Roman"/>
          <w:bCs/>
          <w:color w:val="auto"/>
          <w:szCs w:val="18"/>
        </w:rPr>
        <w:t xml:space="preserve">Given </w:t>
      </w:r>
      <w:r w:rsidR="00115CC7" w:rsidRPr="00D5226D">
        <w:rPr>
          <w:rFonts w:eastAsia="Calibri" w:cs="Times New Roman"/>
          <w:bCs/>
          <w:color w:val="auto"/>
          <w:szCs w:val="18"/>
        </w:rPr>
        <w:t>th</w:t>
      </w:r>
      <w:r w:rsidR="0004492B" w:rsidRPr="00D5226D">
        <w:rPr>
          <w:rFonts w:eastAsia="Calibri" w:cs="Times New Roman"/>
          <w:bCs/>
          <w:color w:val="auto"/>
          <w:szCs w:val="18"/>
        </w:rPr>
        <w:t>e asset class’s s</w:t>
      </w:r>
      <w:r w:rsidR="009B1DAF" w:rsidRPr="00D5226D">
        <w:rPr>
          <w:rFonts w:eastAsia="Calibri" w:cs="Times New Roman"/>
          <w:bCs/>
          <w:color w:val="auto"/>
          <w:szCs w:val="18"/>
        </w:rPr>
        <w:t xml:space="preserve">trong </w:t>
      </w:r>
      <w:r w:rsidR="00A44F83" w:rsidRPr="00D5226D">
        <w:rPr>
          <w:rFonts w:eastAsia="Calibri" w:cs="Times New Roman"/>
          <w:bCs/>
          <w:color w:val="auto"/>
          <w:szCs w:val="18"/>
        </w:rPr>
        <w:t xml:space="preserve">benchmark-relative </w:t>
      </w:r>
      <w:r w:rsidR="009B1DAF" w:rsidRPr="00D5226D">
        <w:rPr>
          <w:rFonts w:eastAsia="Calibri" w:cs="Times New Roman"/>
          <w:bCs/>
          <w:color w:val="auto"/>
          <w:szCs w:val="18"/>
        </w:rPr>
        <w:t>performance</w:t>
      </w:r>
      <w:r w:rsidR="009B1DAF" w:rsidRPr="00A44F83">
        <w:rPr>
          <w:rFonts w:eastAsia="Calibri" w:cs="Times New Roman"/>
          <w:bCs/>
          <w:color w:val="auto"/>
          <w:szCs w:val="18"/>
        </w:rPr>
        <w:t xml:space="preserve">, </w:t>
      </w:r>
      <w:r w:rsidR="002876C0" w:rsidRPr="00A44F83">
        <w:rPr>
          <w:rFonts w:eastAsia="Calibri" w:cs="Times New Roman"/>
          <w:bCs/>
          <w:color w:val="auto"/>
          <w:szCs w:val="18"/>
        </w:rPr>
        <w:t xml:space="preserve">together with interest </w:t>
      </w:r>
      <w:r w:rsidR="009B1DAF" w:rsidRPr="00A44F83">
        <w:rPr>
          <w:rFonts w:eastAsia="Calibri" w:cs="Times New Roman"/>
          <w:bCs/>
          <w:color w:val="auto"/>
          <w:szCs w:val="18"/>
        </w:rPr>
        <w:t>rate cut expectations</w:t>
      </w:r>
      <w:r w:rsidR="00A44F83" w:rsidRPr="00A44F83">
        <w:rPr>
          <w:rFonts w:eastAsia="Calibri" w:cs="Times New Roman"/>
          <w:bCs/>
          <w:color w:val="auto"/>
          <w:szCs w:val="18"/>
        </w:rPr>
        <w:t xml:space="preserve"> having </w:t>
      </w:r>
      <w:r w:rsidR="009B1DAF" w:rsidRPr="00A44F83">
        <w:rPr>
          <w:rFonts w:eastAsia="Calibri" w:cs="Times New Roman"/>
          <w:bCs/>
          <w:color w:val="auto"/>
          <w:szCs w:val="18"/>
        </w:rPr>
        <w:t>largely</w:t>
      </w:r>
      <w:r w:rsidR="00A44F83" w:rsidRPr="00A44F83">
        <w:rPr>
          <w:rFonts w:eastAsia="Calibri" w:cs="Times New Roman"/>
          <w:bCs/>
          <w:color w:val="auto"/>
          <w:szCs w:val="18"/>
        </w:rPr>
        <w:t xml:space="preserve"> </w:t>
      </w:r>
      <w:r w:rsidR="002876C0" w:rsidRPr="00A44F83">
        <w:rPr>
          <w:rFonts w:eastAsia="Calibri" w:cs="Times New Roman"/>
          <w:bCs/>
          <w:color w:val="auto"/>
          <w:szCs w:val="18"/>
        </w:rPr>
        <w:t xml:space="preserve">been priced </w:t>
      </w:r>
      <w:r w:rsidR="009B1DAF" w:rsidRPr="00A44F83">
        <w:rPr>
          <w:rFonts w:eastAsia="Calibri" w:cs="Times New Roman"/>
          <w:bCs/>
          <w:color w:val="auto"/>
          <w:szCs w:val="18"/>
        </w:rPr>
        <w:t>i</w:t>
      </w:r>
      <w:r w:rsidR="00A44F83" w:rsidRPr="00A44F83">
        <w:rPr>
          <w:rFonts w:eastAsia="Calibri" w:cs="Times New Roman"/>
          <w:bCs/>
          <w:color w:val="auto"/>
          <w:szCs w:val="18"/>
        </w:rPr>
        <w:t>n</w:t>
      </w:r>
      <w:r w:rsidR="009B1DAF" w:rsidRPr="00A44F83">
        <w:rPr>
          <w:rFonts w:eastAsia="Calibri" w:cs="Times New Roman"/>
          <w:bCs/>
          <w:color w:val="auto"/>
          <w:szCs w:val="18"/>
        </w:rPr>
        <w:t>,</w:t>
      </w:r>
      <w:r w:rsidR="00A44F83">
        <w:rPr>
          <w:rFonts w:eastAsia="Calibri" w:cs="Times New Roman"/>
          <w:bCs/>
          <w:color w:val="auto"/>
          <w:szCs w:val="18"/>
        </w:rPr>
        <w:t xml:space="preserve"> </w:t>
      </w:r>
      <w:r w:rsidR="009B1DAF" w:rsidRPr="00A44F83">
        <w:rPr>
          <w:rFonts w:eastAsia="Calibri" w:cs="Times New Roman"/>
          <w:bCs/>
          <w:color w:val="auto"/>
          <w:szCs w:val="18"/>
        </w:rPr>
        <w:t>we</w:t>
      </w:r>
      <w:r w:rsidR="002876C0" w:rsidRPr="00A44F83">
        <w:rPr>
          <w:rFonts w:eastAsia="Calibri" w:cs="Times New Roman"/>
          <w:bCs/>
          <w:color w:val="auto"/>
          <w:szCs w:val="18"/>
        </w:rPr>
        <w:t xml:space="preserve"> decided to lock in</w:t>
      </w:r>
      <w:r w:rsidR="009B1DAF" w:rsidRPr="00A44F83">
        <w:rPr>
          <w:rFonts w:eastAsia="Calibri" w:cs="Times New Roman"/>
          <w:bCs/>
          <w:color w:val="auto"/>
          <w:szCs w:val="18"/>
        </w:rPr>
        <w:t xml:space="preserve"> profits and </w:t>
      </w:r>
      <w:r w:rsidR="002876C0" w:rsidRPr="00A44F83">
        <w:rPr>
          <w:rFonts w:eastAsia="Calibri" w:cs="Times New Roman"/>
          <w:bCs/>
          <w:color w:val="auto"/>
          <w:szCs w:val="18"/>
        </w:rPr>
        <w:t xml:space="preserve">reallocate the funds </w:t>
      </w:r>
      <w:r w:rsidR="009B1DAF" w:rsidRPr="00A44F83">
        <w:rPr>
          <w:rFonts w:eastAsia="Calibri" w:cs="Times New Roman"/>
          <w:bCs/>
          <w:color w:val="auto"/>
          <w:szCs w:val="18"/>
        </w:rPr>
        <w:t xml:space="preserve">to </w:t>
      </w:r>
      <w:r w:rsidR="002876C0" w:rsidRPr="00A44F83">
        <w:rPr>
          <w:rFonts w:eastAsia="Calibri" w:cs="Times New Roman"/>
          <w:bCs/>
          <w:color w:val="auto"/>
          <w:szCs w:val="18"/>
        </w:rPr>
        <w:t xml:space="preserve">Australian fixed income and </w:t>
      </w:r>
      <w:r w:rsidR="009B1DAF" w:rsidRPr="00A44F83">
        <w:rPr>
          <w:rFonts w:eastAsia="Calibri" w:cs="Times New Roman"/>
          <w:bCs/>
          <w:color w:val="auto"/>
          <w:szCs w:val="18"/>
        </w:rPr>
        <w:t>cash.</w:t>
      </w:r>
    </w:p>
    <w:p w14:paraId="7B86FA8B" w14:textId="52558864" w:rsidR="00D961F6" w:rsidRDefault="00D961F6" w:rsidP="00A44F83">
      <w:pPr>
        <w:rPr>
          <w:rFonts w:eastAsia="Calibri" w:cs="Times New Roman"/>
          <w:bCs/>
          <w:color w:val="auto"/>
          <w:szCs w:val="18"/>
        </w:rPr>
      </w:pPr>
      <w:r>
        <w:rPr>
          <w:rFonts w:eastAsia="Calibri" w:cs="Times New Roman"/>
          <w:bCs/>
          <w:color w:val="auto"/>
          <w:szCs w:val="18"/>
        </w:rPr>
        <w:t>The Portfolios remain modestly underweight Australian fixed income.</w:t>
      </w:r>
      <w:r w:rsidR="00E37177">
        <w:rPr>
          <w:rFonts w:eastAsia="Calibri" w:cs="Times New Roman"/>
          <w:bCs/>
          <w:color w:val="auto"/>
          <w:szCs w:val="18"/>
        </w:rPr>
        <w:t xml:space="preserve"> </w:t>
      </w:r>
      <w:r w:rsidR="006064DE">
        <w:rPr>
          <w:rFonts w:eastAsia="Calibri" w:cs="Times New Roman"/>
          <w:bCs/>
          <w:color w:val="auto"/>
          <w:szCs w:val="18"/>
        </w:rPr>
        <w:t>However, w</w:t>
      </w:r>
      <w:r>
        <w:rPr>
          <w:rFonts w:eastAsia="Calibri" w:cs="Times New Roman"/>
          <w:bCs/>
          <w:color w:val="auto"/>
          <w:szCs w:val="18"/>
        </w:rPr>
        <w:t>ith government bond yields having risen slightly, w</w:t>
      </w:r>
      <w:r w:rsidR="00C349AE">
        <w:rPr>
          <w:rFonts w:eastAsia="Calibri" w:cs="Times New Roman"/>
          <w:bCs/>
          <w:color w:val="auto"/>
          <w:szCs w:val="18"/>
        </w:rPr>
        <w:t xml:space="preserve">e felt </w:t>
      </w:r>
      <w:r>
        <w:rPr>
          <w:rFonts w:eastAsia="Calibri" w:cs="Times New Roman"/>
          <w:bCs/>
          <w:color w:val="auto"/>
          <w:szCs w:val="18"/>
        </w:rPr>
        <w:t>this provided a good opportunity to add to our exposure</w:t>
      </w:r>
      <w:r w:rsidR="00E37177">
        <w:rPr>
          <w:rFonts w:eastAsia="Calibri" w:cs="Times New Roman"/>
          <w:bCs/>
          <w:color w:val="auto"/>
          <w:szCs w:val="18"/>
        </w:rPr>
        <w:t>.</w:t>
      </w:r>
    </w:p>
    <w:p w14:paraId="10BD3E3D" w14:textId="2FC6EA46" w:rsidR="00BD0DE2" w:rsidRDefault="004E3F44" w:rsidP="00BD0DE2">
      <w:pPr>
        <w:rPr>
          <w:rFonts w:asciiTheme="majorHAnsi" w:eastAsiaTheme="majorEastAsia" w:hAnsiTheme="majorHAnsi" w:cstheme="majorBidi"/>
          <w:b/>
          <w:color w:val="000000" w:themeColor="text1"/>
          <w:sz w:val="24"/>
          <w:szCs w:val="26"/>
        </w:rPr>
      </w:pPr>
      <w:r w:rsidRPr="004E3F44">
        <w:rPr>
          <w:rFonts w:eastAsia="Calibri" w:cs="Times New Roman"/>
          <w:bCs/>
          <w:color w:val="auto"/>
          <w:szCs w:val="18"/>
        </w:rPr>
        <w:t xml:space="preserve">We reduced exposure </w:t>
      </w:r>
      <w:r w:rsidRPr="00D5226D">
        <w:rPr>
          <w:rFonts w:eastAsia="Calibri" w:cs="Times New Roman"/>
          <w:bCs/>
          <w:color w:val="auto"/>
          <w:szCs w:val="18"/>
        </w:rPr>
        <w:t>to A-REITs by selling</w:t>
      </w:r>
      <w:r w:rsidRPr="004E3F44">
        <w:rPr>
          <w:rFonts w:eastAsia="Calibri" w:cs="Times New Roman"/>
          <w:bCs/>
          <w:color w:val="auto"/>
          <w:szCs w:val="18"/>
        </w:rPr>
        <w:t xml:space="preserve"> the Vanguard Australian </w:t>
      </w:r>
      <w:r w:rsidRPr="00D5576F">
        <w:rPr>
          <w:rFonts w:eastAsia="Calibri" w:cs="Times New Roman"/>
          <w:bCs/>
          <w:color w:val="auto"/>
          <w:szCs w:val="18"/>
        </w:rPr>
        <w:t>Property Securities Index ETF.</w:t>
      </w:r>
      <w:r w:rsidR="00115CC7" w:rsidRPr="00D5576F">
        <w:rPr>
          <w:rFonts w:eastAsia="Calibri" w:cs="Times New Roman"/>
          <w:bCs/>
          <w:color w:val="auto"/>
          <w:szCs w:val="18"/>
        </w:rPr>
        <w:t xml:space="preserve"> We increased exposure to Australian fixed income by </w:t>
      </w:r>
      <w:r w:rsidR="00115CC7" w:rsidRPr="00D5226D">
        <w:rPr>
          <w:rFonts w:eastAsia="Calibri" w:cs="Times New Roman"/>
          <w:bCs/>
          <w:color w:val="auto"/>
          <w:szCs w:val="18"/>
        </w:rPr>
        <w:t>buying the Pendal Sustainable Australian Fixed Interest Fund.</w:t>
      </w:r>
    </w:p>
    <w:p w14:paraId="07ACE891" w14:textId="4DBE1876" w:rsidR="0053773E" w:rsidRDefault="00C84536" w:rsidP="0053773E">
      <w:pPr>
        <w:pStyle w:val="Heading2"/>
      </w:pPr>
      <w:r w:rsidRPr="00D5576F">
        <w:t xml:space="preserve">Russell Investments Sustainable Managed Portfolio – </w:t>
      </w:r>
      <w:r w:rsidR="0053773E" w:rsidRPr="00D5576F">
        <w:t>Growth</w:t>
      </w:r>
      <w:r>
        <w:t xml:space="preserve"> only</w:t>
      </w:r>
    </w:p>
    <w:p w14:paraId="4C4D8948" w14:textId="13021389" w:rsidR="00FB0EE0" w:rsidRDefault="003A7FD5" w:rsidP="003A7FD5">
      <w:pPr>
        <w:rPr>
          <w:rFonts w:eastAsia="Calibri" w:cs="Times New Roman"/>
          <w:bCs/>
          <w:color w:val="auto"/>
          <w:szCs w:val="18"/>
        </w:rPr>
      </w:pPr>
      <w:r w:rsidRPr="00943EE4">
        <w:rPr>
          <w:rFonts w:eastAsia="Calibri" w:cs="Times New Roman"/>
          <w:bCs/>
          <w:color w:val="auto"/>
          <w:szCs w:val="18"/>
        </w:rPr>
        <w:t xml:space="preserve">We reduced the </w:t>
      </w:r>
      <w:r w:rsidRPr="00D5226D">
        <w:rPr>
          <w:rFonts w:eastAsia="Calibri" w:cs="Times New Roman"/>
          <w:bCs/>
          <w:color w:val="auto"/>
          <w:szCs w:val="18"/>
        </w:rPr>
        <w:t>Portfolio’s allocation to A-REITs in favour of global listed infrastructure. The Portfolio has held a material overweight to A-REITs (relative to the benchmark) for some time; positioning which has contributed strongly to excess returns.</w:t>
      </w:r>
      <w:r w:rsidR="008D59FD">
        <w:rPr>
          <w:rFonts w:eastAsia="Calibri" w:cs="Times New Roman"/>
          <w:bCs/>
          <w:color w:val="auto"/>
          <w:szCs w:val="18"/>
        </w:rPr>
        <w:t xml:space="preserve"> </w:t>
      </w:r>
      <w:r w:rsidRPr="00D5226D">
        <w:rPr>
          <w:rFonts w:eastAsia="Calibri" w:cs="Times New Roman"/>
          <w:bCs/>
          <w:color w:val="auto"/>
          <w:szCs w:val="18"/>
        </w:rPr>
        <w:t>Given the asset class’s strong benchmark-relative performance, together</w:t>
      </w:r>
      <w:r w:rsidRPr="00A44F83">
        <w:rPr>
          <w:rFonts w:eastAsia="Calibri" w:cs="Times New Roman"/>
          <w:bCs/>
          <w:color w:val="auto"/>
          <w:szCs w:val="18"/>
        </w:rPr>
        <w:t xml:space="preserve"> with interest rate cut expectations having largely been priced in,</w:t>
      </w:r>
      <w:r>
        <w:rPr>
          <w:rFonts w:eastAsia="Calibri" w:cs="Times New Roman"/>
          <w:bCs/>
          <w:color w:val="auto"/>
          <w:szCs w:val="18"/>
        </w:rPr>
        <w:t xml:space="preserve"> </w:t>
      </w:r>
      <w:r w:rsidRPr="00A44F83">
        <w:rPr>
          <w:rFonts w:eastAsia="Calibri" w:cs="Times New Roman"/>
          <w:bCs/>
          <w:color w:val="auto"/>
          <w:szCs w:val="18"/>
        </w:rPr>
        <w:t>we decided to lock in profits and reallocate the funds to</w:t>
      </w:r>
      <w:r w:rsidR="00FB0EE0">
        <w:rPr>
          <w:rFonts w:eastAsia="Calibri" w:cs="Times New Roman"/>
          <w:bCs/>
          <w:color w:val="auto"/>
          <w:szCs w:val="18"/>
        </w:rPr>
        <w:t xml:space="preserve"> global listed infrastructure.</w:t>
      </w:r>
    </w:p>
    <w:p w14:paraId="567139DA" w14:textId="77777777" w:rsidR="00572D5A" w:rsidRDefault="00246BF9" w:rsidP="00431CFC">
      <w:pPr>
        <w:rPr>
          <w:rFonts w:eastAsia="Calibri" w:cs="Times New Roman"/>
          <w:bCs/>
          <w:color w:val="auto"/>
          <w:szCs w:val="18"/>
        </w:rPr>
      </w:pPr>
      <w:r>
        <w:rPr>
          <w:rFonts w:eastAsia="Calibri" w:cs="Times New Roman"/>
          <w:bCs/>
          <w:color w:val="auto"/>
          <w:szCs w:val="18"/>
        </w:rPr>
        <w:t>The Portfolio had maintained a tactical underweight to global listed infrastructure in favour of global listed property. However, with global listed infrastructure now looking attractive from a valuation perspective, we felt the time was right to close our tactical underweight and increase our exposure to the asset class.</w:t>
      </w:r>
    </w:p>
    <w:p w14:paraId="6C8AA610" w14:textId="77777777" w:rsidR="00572D5A" w:rsidRDefault="00572D5A" w:rsidP="00572D5A">
      <w:pPr>
        <w:spacing w:before="240" w:after="240"/>
        <w:rPr>
          <w:rFonts w:asciiTheme="majorHAnsi" w:hAnsiTheme="majorHAnsi" w:cstheme="majorHAnsi"/>
          <w:b/>
          <w:bCs/>
          <w:color w:val="005596"/>
          <w:sz w:val="28"/>
          <w:szCs w:val="40"/>
        </w:rPr>
      </w:pPr>
      <w:r w:rsidRPr="0074437C">
        <w:rPr>
          <w:rFonts w:asciiTheme="majorHAnsi" w:hAnsiTheme="majorHAnsi" w:cstheme="majorHAnsi"/>
          <w:b/>
          <w:bCs/>
          <w:color w:val="005596"/>
          <w:sz w:val="28"/>
          <w:szCs w:val="40"/>
        </w:rPr>
        <w:t>Changes in global equity allocation (%)</w:t>
      </w:r>
    </w:p>
    <w:tbl>
      <w:tblPr>
        <w:tblStyle w:val="RPtable1"/>
        <w:tblW w:w="5000" w:type="pct"/>
        <w:tblLook w:val="06A0" w:firstRow="1" w:lastRow="0" w:firstColumn="1" w:lastColumn="0" w:noHBand="1" w:noVBand="1"/>
      </w:tblPr>
      <w:tblGrid>
        <w:gridCol w:w="2268"/>
        <w:gridCol w:w="1985"/>
        <w:gridCol w:w="1275"/>
        <w:gridCol w:w="1558"/>
        <w:gridCol w:w="1511"/>
        <w:gridCol w:w="1721"/>
      </w:tblGrid>
      <w:tr w:rsidR="00572D5A" w14:paraId="28109E59" w14:textId="77777777" w:rsidTr="00F86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vMerge w:val="restart"/>
          </w:tcPr>
          <w:p w14:paraId="1E11A1E2" w14:textId="77777777" w:rsidR="00572D5A" w:rsidRPr="00693888" w:rsidRDefault="00572D5A" w:rsidP="00F864C9">
            <w:pPr>
              <w:pStyle w:val="Tablecopy"/>
              <w:rPr>
                <w:sz w:val="18"/>
                <w:szCs w:val="22"/>
              </w:rPr>
            </w:pPr>
            <w:r w:rsidRPr="00693888">
              <w:rPr>
                <w:sz w:val="18"/>
                <w:szCs w:val="22"/>
              </w:rPr>
              <w:t>ASSET CLASS</w:t>
            </w:r>
          </w:p>
        </w:tc>
        <w:tc>
          <w:tcPr>
            <w:tcW w:w="3901" w:type="pct"/>
            <w:gridSpan w:val="5"/>
          </w:tcPr>
          <w:p w14:paraId="257C2E80" w14:textId="77777777" w:rsidR="00572D5A" w:rsidRPr="00693888" w:rsidRDefault="00572D5A" w:rsidP="00F864C9">
            <w:pPr>
              <w:pStyle w:val="Tablecopy"/>
              <w:jc w:val="center"/>
              <w:cnfStyle w:val="100000000000" w:firstRow="1" w:lastRow="0" w:firstColumn="0" w:lastColumn="0" w:oddVBand="0" w:evenVBand="0" w:oddHBand="0" w:evenHBand="0" w:firstRowFirstColumn="0" w:firstRowLastColumn="0" w:lastRowFirstColumn="0" w:lastRowLastColumn="0"/>
              <w:rPr>
                <w:b w:val="0"/>
                <w:caps w:val="0"/>
                <w:sz w:val="18"/>
                <w:szCs w:val="22"/>
              </w:rPr>
            </w:pPr>
            <w:r w:rsidRPr="00693888">
              <w:rPr>
                <w:sz w:val="18"/>
                <w:szCs w:val="22"/>
              </w:rPr>
              <w:t>RISK PROFILE</w:t>
            </w:r>
          </w:p>
        </w:tc>
      </w:tr>
      <w:tr w:rsidR="00572D5A" w14:paraId="38B385A8" w14:textId="77777777" w:rsidTr="00F864C9">
        <w:tc>
          <w:tcPr>
            <w:cnfStyle w:val="001000000000" w:firstRow="0" w:lastRow="0" w:firstColumn="1" w:lastColumn="0" w:oddVBand="0" w:evenVBand="0" w:oddHBand="0" w:evenHBand="0" w:firstRowFirstColumn="0" w:firstRowLastColumn="0" w:lastRowFirstColumn="0" w:lastRowLastColumn="0"/>
            <w:tcW w:w="1099" w:type="pct"/>
            <w:vMerge/>
            <w:tcBorders>
              <w:bottom w:val="single" w:sz="36" w:space="0" w:color="auto"/>
            </w:tcBorders>
          </w:tcPr>
          <w:p w14:paraId="20977880" w14:textId="77777777" w:rsidR="00572D5A" w:rsidRPr="00693888" w:rsidRDefault="00572D5A" w:rsidP="00F864C9">
            <w:pPr>
              <w:pStyle w:val="Tablecopy"/>
              <w:rPr>
                <w:sz w:val="18"/>
                <w:szCs w:val="22"/>
              </w:rPr>
            </w:pPr>
          </w:p>
        </w:tc>
        <w:tc>
          <w:tcPr>
            <w:tcW w:w="962" w:type="pct"/>
            <w:tcBorders>
              <w:bottom w:val="single" w:sz="36" w:space="0" w:color="auto"/>
            </w:tcBorders>
            <w:shd w:val="clear" w:color="auto" w:fill="DEDFDF" w:themeFill="text2" w:themeFillTint="33"/>
          </w:tcPr>
          <w:p w14:paraId="6DF69AD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sz w:val="18"/>
                <w:szCs w:val="22"/>
              </w:rPr>
            </w:pPr>
            <w:r w:rsidRPr="00693888">
              <w:rPr>
                <w:b/>
                <w:bCs/>
                <w:sz w:val="18"/>
                <w:szCs w:val="22"/>
              </w:rPr>
              <w:t>CONSERVATIVE</w:t>
            </w:r>
          </w:p>
        </w:tc>
        <w:tc>
          <w:tcPr>
            <w:tcW w:w="618" w:type="pct"/>
            <w:tcBorders>
              <w:bottom w:val="single" w:sz="36" w:space="0" w:color="auto"/>
            </w:tcBorders>
            <w:shd w:val="clear" w:color="auto" w:fill="DEDFDF" w:themeFill="text2" w:themeFillTint="33"/>
          </w:tcPr>
          <w:p w14:paraId="28A024B8"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DIV 50</w:t>
            </w:r>
          </w:p>
        </w:tc>
        <w:tc>
          <w:tcPr>
            <w:tcW w:w="755" w:type="pct"/>
            <w:tcBorders>
              <w:bottom w:val="single" w:sz="36" w:space="0" w:color="auto"/>
            </w:tcBorders>
            <w:shd w:val="clear" w:color="auto" w:fill="DEDFDF" w:themeFill="text2" w:themeFillTint="33"/>
          </w:tcPr>
          <w:p w14:paraId="22AD7A3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BALANCED</w:t>
            </w:r>
          </w:p>
        </w:tc>
        <w:tc>
          <w:tcPr>
            <w:tcW w:w="732" w:type="pct"/>
            <w:tcBorders>
              <w:bottom w:val="single" w:sz="36" w:space="0" w:color="auto"/>
            </w:tcBorders>
            <w:shd w:val="clear" w:color="auto" w:fill="DEDFDF" w:themeFill="text2" w:themeFillTint="33"/>
          </w:tcPr>
          <w:p w14:paraId="7437565D"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GROWTH</w:t>
            </w:r>
          </w:p>
        </w:tc>
        <w:tc>
          <w:tcPr>
            <w:tcW w:w="834" w:type="pct"/>
            <w:tcBorders>
              <w:bottom w:val="single" w:sz="36" w:space="0" w:color="auto"/>
            </w:tcBorders>
            <w:shd w:val="clear" w:color="auto" w:fill="DEDFDF" w:themeFill="text2" w:themeFillTint="33"/>
          </w:tcPr>
          <w:p w14:paraId="09F936AF"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HIGH GROWTH</w:t>
            </w:r>
          </w:p>
        </w:tc>
      </w:tr>
      <w:tr w:rsidR="00572D5A" w:rsidRPr="00B256B7" w14:paraId="6962C238" w14:textId="77777777" w:rsidTr="00F864C9">
        <w:tc>
          <w:tcPr>
            <w:cnfStyle w:val="001000000000" w:firstRow="0" w:lastRow="0" w:firstColumn="1" w:lastColumn="0" w:oddVBand="0" w:evenVBand="0" w:oddHBand="0" w:evenHBand="0" w:firstRowFirstColumn="0" w:firstRowLastColumn="0" w:lastRowFirstColumn="0" w:lastRowLastColumn="0"/>
            <w:tcW w:w="1099" w:type="pct"/>
            <w:tcBorders>
              <w:top w:val="single" w:sz="36" w:space="0" w:color="auto"/>
            </w:tcBorders>
          </w:tcPr>
          <w:p w14:paraId="5A1B4CB4" w14:textId="77777777" w:rsidR="00572D5A" w:rsidRPr="00693888" w:rsidRDefault="00572D5A" w:rsidP="00F864C9">
            <w:pPr>
              <w:pStyle w:val="Tablecopy"/>
              <w:rPr>
                <w:b w:val="0"/>
                <w:bCs/>
                <w:sz w:val="18"/>
              </w:rPr>
            </w:pPr>
            <w:r w:rsidRPr="00693888">
              <w:rPr>
                <w:b w:val="0"/>
                <w:bCs/>
                <w:sz w:val="18"/>
              </w:rPr>
              <w:t>Russell Investments Sustainable Global Opportunities Complex ETF</w:t>
            </w:r>
          </w:p>
        </w:tc>
        <w:tc>
          <w:tcPr>
            <w:tcW w:w="962" w:type="pct"/>
            <w:tcBorders>
              <w:top w:val="single" w:sz="36" w:space="0" w:color="auto"/>
            </w:tcBorders>
            <w:vAlign w:val="center"/>
          </w:tcPr>
          <w:p w14:paraId="645A8AF4"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+4.0</w:t>
            </w:r>
          </w:p>
        </w:tc>
        <w:tc>
          <w:tcPr>
            <w:tcW w:w="618" w:type="pct"/>
            <w:tcBorders>
              <w:top w:val="single" w:sz="36" w:space="0" w:color="auto"/>
            </w:tcBorders>
            <w:vAlign w:val="center"/>
          </w:tcPr>
          <w:p w14:paraId="00918C42"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+5.0</w:t>
            </w:r>
          </w:p>
        </w:tc>
        <w:tc>
          <w:tcPr>
            <w:tcW w:w="755" w:type="pct"/>
            <w:tcBorders>
              <w:top w:val="single" w:sz="36" w:space="0" w:color="auto"/>
            </w:tcBorders>
            <w:vAlign w:val="center"/>
          </w:tcPr>
          <w:p w14:paraId="6ABE7CB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+7.0</w:t>
            </w:r>
          </w:p>
        </w:tc>
        <w:tc>
          <w:tcPr>
            <w:tcW w:w="732" w:type="pct"/>
            <w:tcBorders>
              <w:top w:val="single" w:sz="36" w:space="0" w:color="auto"/>
            </w:tcBorders>
            <w:vAlign w:val="center"/>
          </w:tcPr>
          <w:p w14:paraId="28C46AC7"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+10.0</w:t>
            </w:r>
          </w:p>
        </w:tc>
        <w:tc>
          <w:tcPr>
            <w:tcW w:w="834" w:type="pct"/>
            <w:tcBorders>
              <w:top w:val="single" w:sz="36" w:space="0" w:color="auto"/>
            </w:tcBorders>
            <w:vAlign w:val="center"/>
          </w:tcPr>
          <w:p w14:paraId="12412CDC"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+15.0</w:t>
            </w:r>
          </w:p>
        </w:tc>
      </w:tr>
      <w:tr w:rsidR="00572D5A" w:rsidRPr="00B256B7" w14:paraId="719C353E" w14:textId="77777777" w:rsidTr="00F864C9">
        <w:tc>
          <w:tcPr>
            <w:cnfStyle w:val="001000000000" w:firstRow="0" w:lastRow="0" w:firstColumn="1" w:lastColumn="0" w:oddVBand="0" w:evenVBand="0" w:oddHBand="0" w:evenHBand="0" w:firstRowFirstColumn="0" w:firstRowLastColumn="0" w:lastRowFirstColumn="0" w:lastRowLastColumn="0"/>
            <w:tcW w:w="1099" w:type="pct"/>
          </w:tcPr>
          <w:p w14:paraId="0CC1D76E" w14:textId="77777777" w:rsidR="00572D5A" w:rsidRPr="00693888" w:rsidRDefault="00572D5A" w:rsidP="00F864C9">
            <w:pPr>
              <w:pStyle w:val="Tablecopy"/>
              <w:rPr>
                <w:b w:val="0"/>
                <w:sz w:val="18"/>
              </w:rPr>
            </w:pPr>
            <w:r w:rsidRPr="00693888">
              <w:rPr>
                <w:b w:val="0"/>
                <w:sz w:val="18"/>
              </w:rPr>
              <w:t>Mirova Global Sustainable Equity No.2 Fund</w:t>
            </w:r>
          </w:p>
        </w:tc>
        <w:tc>
          <w:tcPr>
            <w:tcW w:w="962" w:type="pct"/>
            <w:vAlign w:val="center"/>
          </w:tcPr>
          <w:p w14:paraId="03725ED2"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-4.0</w:t>
            </w:r>
          </w:p>
        </w:tc>
        <w:tc>
          <w:tcPr>
            <w:tcW w:w="618" w:type="pct"/>
            <w:vAlign w:val="center"/>
          </w:tcPr>
          <w:p w14:paraId="55AC592F"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-3.7</w:t>
            </w:r>
          </w:p>
        </w:tc>
        <w:tc>
          <w:tcPr>
            <w:tcW w:w="755" w:type="pct"/>
            <w:vAlign w:val="center"/>
          </w:tcPr>
          <w:p w14:paraId="4FE63112"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-6.5</w:t>
            </w:r>
          </w:p>
        </w:tc>
        <w:tc>
          <w:tcPr>
            <w:tcW w:w="732" w:type="pct"/>
            <w:vAlign w:val="center"/>
          </w:tcPr>
          <w:p w14:paraId="4CF566F1"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-9.5</w:t>
            </w:r>
          </w:p>
        </w:tc>
        <w:tc>
          <w:tcPr>
            <w:tcW w:w="834" w:type="pct"/>
            <w:vAlign w:val="center"/>
          </w:tcPr>
          <w:p w14:paraId="7D7AF880"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-11.7</w:t>
            </w:r>
          </w:p>
        </w:tc>
      </w:tr>
      <w:tr w:rsidR="00572D5A" w:rsidRPr="00B256B7" w14:paraId="00DEE64F" w14:textId="77777777" w:rsidTr="00F864C9">
        <w:tc>
          <w:tcPr>
            <w:cnfStyle w:val="001000000000" w:firstRow="0" w:lastRow="0" w:firstColumn="1" w:lastColumn="0" w:oddVBand="0" w:evenVBand="0" w:oddHBand="0" w:evenHBand="0" w:firstRowFirstColumn="0" w:firstRowLastColumn="0" w:lastRowFirstColumn="0" w:lastRowLastColumn="0"/>
            <w:tcW w:w="1099" w:type="pct"/>
          </w:tcPr>
          <w:p w14:paraId="10B37759" w14:textId="77777777" w:rsidR="00572D5A" w:rsidRPr="00693888" w:rsidRDefault="00572D5A" w:rsidP="00F864C9">
            <w:pPr>
              <w:pStyle w:val="Tablecopy"/>
              <w:rPr>
                <w:b w:val="0"/>
                <w:bCs/>
                <w:sz w:val="18"/>
              </w:rPr>
            </w:pPr>
            <w:r w:rsidRPr="00693888">
              <w:rPr>
                <w:b w:val="0"/>
                <w:bCs/>
                <w:sz w:val="18"/>
              </w:rPr>
              <w:t>Impax Sustainable Leaders Fund</w:t>
            </w:r>
          </w:p>
        </w:tc>
        <w:tc>
          <w:tcPr>
            <w:tcW w:w="962" w:type="pct"/>
            <w:vAlign w:val="center"/>
          </w:tcPr>
          <w:p w14:paraId="4FF6537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w:t>
            </w:r>
          </w:p>
        </w:tc>
        <w:tc>
          <w:tcPr>
            <w:tcW w:w="618" w:type="pct"/>
            <w:vAlign w:val="center"/>
          </w:tcPr>
          <w:p w14:paraId="37EDF186"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-2.0</w:t>
            </w:r>
          </w:p>
        </w:tc>
        <w:tc>
          <w:tcPr>
            <w:tcW w:w="755" w:type="pct"/>
            <w:vAlign w:val="center"/>
          </w:tcPr>
          <w:p w14:paraId="3E5778F9"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-3.0</w:t>
            </w:r>
          </w:p>
        </w:tc>
        <w:tc>
          <w:tcPr>
            <w:tcW w:w="732" w:type="pct"/>
            <w:vAlign w:val="center"/>
          </w:tcPr>
          <w:p w14:paraId="3CC8B363"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-4.0</w:t>
            </w:r>
          </w:p>
        </w:tc>
        <w:tc>
          <w:tcPr>
            <w:tcW w:w="834" w:type="pct"/>
            <w:vAlign w:val="center"/>
          </w:tcPr>
          <w:p w14:paraId="7A96A904"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-4.0</w:t>
            </w:r>
          </w:p>
        </w:tc>
      </w:tr>
      <w:tr w:rsidR="00572D5A" w:rsidRPr="00B256B7" w14:paraId="6E1976ED" w14:textId="77777777" w:rsidTr="00F864C9">
        <w:tc>
          <w:tcPr>
            <w:cnfStyle w:val="001000000000" w:firstRow="0" w:lastRow="0" w:firstColumn="1" w:lastColumn="0" w:oddVBand="0" w:evenVBand="0" w:oddHBand="0" w:evenHBand="0" w:firstRowFirstColumn="0" w:firstRowLastColumn="0" w:lastRowFirstColumn="0" w:lastRowLastColumn="0"/>
            <w:tcW w:w="1099" w:type="pct"/>
          </w:tcPr>
          <w:p w14:paraId="02360EE3" w14:textId="77777777" w:rsidR="00572D5A" w:rsidRPr="00693888" w:rsidRDefault="00572D5A" w:rsidP="00F864C9">
            <w:pPr>
              <w:pStyle w:val="Tablecopy"/>
              <w:rPr>
                <w:b w:val="0"/>
                <w:bCs/>
                <w:sz w:val="18"/>
              </w:rPr>
            </w:pPr>
            <w:r w:rsidRPr="00693888">
              <w:rPr>
                <w:b w:val="0"/>
                <w:bCs/>
                <w:sz w:val="18"/>
              </w:rPr>
              <w:t>Russell Investments Low Carbon Global Shares Fund</w:t>
            </w:r>
          </w:p>
        </w:tc>
        <w:tc>
          <w:tcPr>
            <w:tcW w:w="962" w:type="pct"/>
            <w:vAlign w:val="center"/>
          </w:tcPr>
          <w:p w14:paraId="6EE5D80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w:t>
            </w:r>
          </w:p>
        </w:tc>
        <w:tc>
          <w:tcPr>
            <w:tcW w:w="618" w:type="pct"/>
            <w:vAlign w:val="center"/>
          </w:tcPr>
          <w:p w14:paraId="029E8244"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+0.7</w:t>
            </w:r>
          </w:p>
        </w:tc>
        <w:tc>
          <w:tcPr>
            <w:tcW w:w="755" w:type="pct"/>
            <w:vAlign w:val="center"/>
          </w:tcPr>
          <w:p w14:paraId="15F82886"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+2.6</w:t>
            </w:r>
          </w:p>
        </w:tc>
        <w:tc>
          <w:tcPr>
            <w:tcW w:w="732" w:type="pct"/>
            <w:vAlign w:val="center"/>
          </w:tcPr>
          <w:p w14:paraId="6C374A89"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+3.5</w:t>
            </w:r>
          </w:p>
        </w:tc>
        <w:tc>
          <w:tcPr>
            <w:tcW w:w="834" w:type="pct"/>
            <w:vAlign w:val="center"/>
          </w:tcPr>
          <w:p w14:paraId="203360E8"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+0.7</w:t>
            </w:r>
          </w:p>
        </w:tc>
      </w:tr>
      <w:tr w:rsidR="00572D5A" w:rsidRPr="00B256B7" w14:paraId="37F764A0" w14:textId="77777777" w:rsidTr="00F864C9">
        <w:tc>
          <w:tcPr>
            <w:cnfStyle w:val="001000000000" w:firstRow="0" w:lastRow="0" w:firstColumn="1" w:lastColumn="0" w:oddVBand="0" w:evenVBand="0" w:oddHBand="0" w:evenHBand="0" w:firstRowFirstColumn="0" w:firstRowLastColumn="0" w:lastRowFirstColumn="0" w:lastRowLastColumn="0"/>
            <w:tcW w:w="1099" w:type="pct"/>
          </w:tcPr>
          <w:p w14:paraId="61F44959" w14:textId="77777777" w:rsidR="00572D5A" w:rsidRPr="00693888" w:rsidRDefault="00572D5A" w:rsidP="00F864C9">
            <w:pPr>
              <w:pStyle w:val="Tablecopy"/>
              <w:rPr>
                <w:bCs/>
                <w:sz w:val="18"/>
              </w:rPr>
            </w:pPr>
            <w:r w:rsidRPr="00693888">
              <w:rPr>
                <w:b w:val="0"/>
                <w:bCs/>
                <w:sz w:val="18"/>
              </w:rPr>
              <w:t>Russell Investments Low Carbon Global Shares Fund (AUD hedged)</w:t>
            </w:r>
          </w:p>
        </w:tc>
        <w:tc>
          <w:tcPr>
            <w:tcW w:w="962" w:type="pct"/>
            <w:vAlign w:val="center"/>
          </w:tcPr>
          <w:p w14:paraId="73AEC0DB"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w:t>
            </w:r>
          </w:p>
        </w:tc>
        <w:tc>
          <w:tcPr>
            <w:tcW w:w="618" w:type="pct"/>
            <w:vAlign w:val="center"/>
          </w:tcPr>
          <w:p w14:paraId="1229967C"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w:t>
            </w:r>
          </w:p>
        </w:tc>
        <w:tc>
          <w:tcPr>
            <w:tcW w:w="755" w:type="pct"/>
            <w:vAlign w:val="center"/>
          </w:tcPr>
          <w:p w14:paraId="607ECF83"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w:t>
            </w:r>
          </w:p>
        </w:tc>
        <w:tc>
          <w:tcPr>
            <w:tcW w:w="732" w:type="pct"/>
            <w:vAlign w:val="center"/>
          </w:tcPr>
          <w:p w14:paraId="7BEBC4D4"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+0.1</w:t>
            </w:r>
          </w:p>
        </w:tc>
        <w:tc>
          <w:tcPr>
            <w:tcW w:w="834" w:type="pct"/>
            <w:vAlign w:val="center"/>
          </w:tcPr>
          <w:p w14:paraId="1EEAFCF7"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+0.1</w:t>
            </w:r>
          </w:p>
        </w:tc>
      </w:tr>
    </w:tbl>
    <w:p w14:paraId="28DC2040" w14:textId="77777777" w:rsidR="00572D5A" w:rsidRDefault="00572D5A" w:rsidP="00572D5A">
      <w:pPr>
        <w:pStyle w:val="Heading1"/>
        <w:spacing w:before="240"/>
      </w:pPr>
      <w:r w:rsidRPr="0074437C">
        <w:rPr>
          <w:color w:val="005596"/>
        </w:rPr>
        <w:t>Changes</w:t>
      </w:r>
      <w:r w:rsidRPr="0053773E">
        <w:t xml:space="preserve"> in asset allocation (%)</w:t>
      </w:r>
    </w:p>
    <w:tbl>
      <w:tblPr>
        <w:tblStyle w:val="RPtable1"/>
        <w:tblW w:w="5000" w:type="pct"/>
        <w:tblLook w:val="06A0" w:firstRow="1" w:lastRow="0" w:firstColumn="1" w:lastColumn="0" w:noHBand="1" w:noVBand="1"/>
      </w:tblPr>
      <w:tblGrid>
        <w:gridCol w:w="2268"/>
        <w:gridCol w:w="1985"/>
        <w:gridCol w:w="1275"/>
        <w:gridCol w:w="1558"/>
        <w:gridCol w:w="1511"/>
        <w:gridCol w:w="1721"/>
      </w:tblGrid>
      <w:tr w:rsidR="00572D5A" w14:paraId="5293B68A" w14:textId="77777777" w:rsidTr="00F864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pct"/>
            <w:vMerge w:val="restart"/>
          </w:tcPr>
          <w:p w14:paraId="1FCDEDBA" w14:textId="77777777" w:rsidR="00572D5A" w:rsidRPr="00693888" w:rsidRDefault="00572D5A" w:rsidP="00F864C9">
            <w:pPr>
              <w:pStyle w:val="Tablecopy"/>
              <w:rPr>
                <w:sz w:val="18"/>
                <w:szCs w:val="22"/>
              </w:rPr>
            </w:pPr>
            <w:r w:rsidRPr="00693888">
              <w:rPr>
                <w:sz w:val="18"/>
                <w:szCs w:val="22"/>
              </w:rPr>
              <w:t>ASSET CLASS</w:t>
            </w:r>
          </w:p>
        </w:tc>
        <w:tc>
          <w:tcPr>
            <w:tcW w:w="3901" w:type="pct"/>
            <w:gridSpan w:val="5"/>
          </w:tcPr>
          <w:p w14:paraId="3A25AE12" w14:textId="77777777" w:rsidR="00572D5A" w:rsidRPr="00693888" w:rsidRDefault="00572D5A" w:rsidP="00F864C9">
            <w:pPr>
              <w:pStyle w:val="Tablecopy"/>
              <w:jc w:val="center"/>
              <w:cnfStyle w:val="100000000000" w:firstRow="1" w:lastRow="0" w:firstColumn="0" w:lastColumn="0" w:oddVBand="0" w:evenVBand="0" w:oddHBand="0" w:evenHBand="0" w:firstRowFirstColumn="0" w:firstRowLastColumn="0" w:lastRowFirstColumn="0" w:lastRowLastColumn="0"/>
              <w:rPr>
                <w:b w:val="0"/>
                <w:caps w:val="0"/>
                <w:sz w:val="18"/>
                <w:szCs w:val="22"/>
              </w:rPr>
            </w:pPr>
            <w:r w:rsidRPr="00693888">
              <w:rPr>
                <w:sz w:val="18"/>
                <w:szCs w:val="22"/>
              </w:rPr>
              <w:t>RISK PROFILE</w:t>
            </w:r>
          </w:p>
        </w:tc>
      </w:tr>
      <w:tr w:rsidR="00572D5A" w14:paraId="1EDE5484" w14:textId="77777777" w:rsidTr="00F864C9">
        <w:tc>
          <w:tcPr>
            <w:cnfStyle w:val="001000000000" w:firstRow="0" w:lastRow="0" w:firstColumn="1" w:lastColumn="0" w:oddVBand="0" w:evenVBand="0" w:oddHBand="0" w:evenHBand="0" w:firstRowFirstColumn="0" w:firstRowLastColumn="0" w:lastRowFirstColumn="0" w:lastRowLastColumn="0"/>
            <w:tcW w:w="1099" w:type="pct"/>
            <w:vMerge/>
            <w:tcBorders>
              <w:bottom w:val="single" w:sz="36" w:space="0" w:color="auto"/>
            </w:tcBorders>
          </w:tcPr>
          <w:p w14:paraId="07CEA959" w14:textId="77777777" w:rsidR="00572D5A" w:rsidRPr="00693888" w:rsidRDefault="00572D5A" w:rsidP="00F864C9">
            <w:pPr>
              <w:pStyle w:val="Tablecopy"/>
              <w:rPr>
                <w:sz w:val="18"/>
                <w:szCs w:val="22"/>
              </w:rPr>
            </w:pPr>
          </w:p>
        </w:tc>
        <w:tc>
          <w:tcPr>
            <w:tcW w:w="962" w:type="pct"/>
            <w:tcBorders>
              <w:bottom w:val="single" w:sz="36" w:space="0" w:color="auto"/>
            </w:tcBorders>
            <w:shd w:val="clear" w:color="auto" w:fill="DEDFDF" w:themeFill="text2" w:themeFillTint="33"/>
          </w:tcPr>
          <w:p w14:paraId="1E436D50"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sz w:val="18"/>
                <w:szCs w:val="22"/>
              </w:rPr>
            </w:pPr>
            <w:r w:rsidRPr="00693888">
              <w:rPr>
                <w:b/>
                <w:bCs/>
                <w:sz w:val="18"/>
                <w:szCs w:val="22"/>
              </w:rPr>
              <w:t>CONSERVATIVE</w:t>
            </w:r>
          </w:p>
        </w:tc>
        <w:tc>
          <w:tcPr>
            <w:tcW w:w="618" w:type="pct"/>
            <w:tcBorders>
              <w:bottom w:val="single" w:sz="36" w:space="0" w:color="auto"/>
            </w:tcBorders>
            <w:shd w:val="clear" w:color="auto" w:fill="DEDFDF" w:themeFill="text2" w:themeFillTint="33"/>
          </w:tcPr>
          <w:p w14:paraId="1BC54F76"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DIV 50</w:t>
            </w:r>
          </w:p>
        </w:tc>
        <w:tc>
          <w:tcPr>
            <w:tcW w:w="755" w:type="pct"/>
            <w:tcBorders>
              <w:bottom w:val="single" w:sz="36" w:space="0" w:color="auto"/>
            </w:tcBorders>
            <w:shd w:val="clear" w:color="auto" w:fill="DEDFDF" w:themeFill="text2" w:themeFillTint="33"/>
          </w:tcPr>
          <w:p w14:paraId="7B861A96"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BALANCED</w:t>
            </w:r>
          </w:p>
        </w:tc>
        <w:tc>
          <w:tcPr>
            <w:tcW w:w="732" w:type="pct"/>
            <w:tcBorders>
              <w:bottom w:val="single" w:sz="36" w:space="0" w:color="auto"/>
            </w:tcBorders>
            <w:shd w:val="clear" w:color="auto" w:fill="DEDFDF" w:themeFill="text2" w:themeFillTint="33"/>
          </w:tcPr>
          <w:p w14:paraId="62B6D996"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GROWTH</w:t>
            </w:r>
          </w:p>
        </w:tc>
        <w:tc>
          <w:tcPr>
            <w:tcW w:w="834" w:type="pct"/>
            <w:tcBorders>
              <w:bottom w:val="single" w:sz="36" w:space="0" w:color="auto"/>
            </w:tcBorders>
            <w:shd w:val="clear" w:color="auto" w:fill="DEDFDF" w:themeFill="text2" w:themeFillTint="33"/>
          </w:tcPr>
          <w:p w14:paraId="1BC63B51"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HIGH GROWTH</w:t>
            </w:r>
          </w:p>
        </w:tc>
      </w:tr>
      <w:tr w:rsidR="00572D5A" w:rsidRPr="00B256B7" w14:paraId="192EEA5D" w14:textId="77777777" w:rsidTr="00F864C9">
        <w:tc>
          <w:tcPr>
            <w:cnfStyle w:val="001000000000" w:firstRow="0" w:lastRow="0" w:firstColumn="1" w:lastColumn="0" w:oddVBand="0" w:evenVBand="0" w:oddHBand="0" w:evenHBand="0" w:firstRowFirstColumn="0" w:firstRowLastColumn="0" w:lastRowFirstColumn="0" w:lastRowLastColumn="0"/>
            <w:tcW w:w="1099" w:type="pct"/>
            <w:tcBorders>
              <w:top w:val="single" w:sz="36" w:space="0" w:color="auto"/>
            </w:tcBorders>
          </w:tcPr>
          <w:p w14:paraId="525D075F" w14:textId="77777777" w:rsidR="00572D5A" w:rsidRPr="00693888" w:rsidRDefault="00572D5A" w:rsidP="00F864C9">
            <w:pPr>
              <w:pStyle w:val="Tablecopy"/>
              <w:rPr>
                <w:b w:val="0"/>
                <w:sz w:val="18"/>
              </w:rPr>
            </w:pPr>
            <w:r w:rsidRPr="00693888">
              <w:rPr>
                <w:b w:val="0"/>
                <w:sz w:val="18"/>
              </w:rPr>
              <w:t>A-REITs</w:t>
            </w:r>
          </w:p>
        </w:tc>
        <w:tc>
          <w:tcPr>
            <w:tcW w:w="962" w:type="pct"/>
            <w:tcBorders>
              <w:top w:val="single" w:sz="36" w:space="0" w:color="auto"/>
            </w:tcBorders>
            <w:vAlign w:val="center"/>
          </w:tcPr>
          <w:p w14:paraId="55F0A2EC"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w:t>
            </w:r>
          </w:p>
        </w:tc>
        <w:tc>
          <w:tcPr>
            <w:tcW w:w="618" w:type="pct"/>
            <w:tcBorders>
              <w:top w:val="single" w:sz="36" w:space="0" w:color="auto"/>
            </w:tcBorders>
            <w:vAlign w:val="center"/>
          </w:tcPr>
          <w:p w14:paraId="0BA728A8"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-0.5</w:t>
            </w:r>
          </w:p>
        </w:tc>
        <w:tc>
          <w:tcPr>
            <w:tcW w:w="755" w:type="pct"/>
            <w:tcBorders>
              <w:top w:val="single" w:sz="36" w:space="0" w:color="auto"/>
            </w:tcBorders>
            <w:vAlign w:val="center"/>
          </w:tcPr>
          <w:p w14:paraId="26CF5E3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-0.5</w:t>
            </w:r>
          </w:p>
        </w:tc>
        <w:tc>
          <w:tcPr>
            <w:tcW w:w="732" w:type="pct"/>
            <w:tcBorders>
              <w:top w:val="single" w:sz="36" w:space="0" w:color="auto"/>
            </w:tcBorders>
            <w:vAlign w:val="center"/>
          </w:tcPr>
          <w:p w14:paraId="7C5F469D"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-0.5</w:t>
            </w:r>
          </w:p>
        </w:tc>
        <w:tc>
          <w:tcPr>
            <w:tcW w:w="834" w:type="pct"/>
            <w:tcBorders>
              <w:top w:val="single" w:sz="36" w:space="0" w:color="auto"/>
            </w:tcBorders>
            <w:vAlign w:val="center"/>
          </w:tcPr>
          <w:p w14:paraId="6E24E9EC"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+0.1</w:t>
            </w:r>
          </w:p>
        </w:tc>
      </w:tr>
      <w:tr w:rsidR="00572D5A" w:rsidRPr="00B256B7" w14:paraId="23B58C58" w14:textId="77777777" w:rsidTr="00F864C9">
        <w:tc>
          <w:tcPr>
            <w:cnfStyle w:val="001000000000" w:firstRow="0" w:lastRow="0" w:firstColumn="1" w:lastColumn="0" w:oddVBand="0" w:evenVBand="0" w:oddHBand="0" w:evenHBand="0" w:firstRowFirstColumn="0" w:firstRowLastColumn="0" w:lastRowFirstColumn="0" w:lastRowLastColumn="0"/>
            <w:tcW w:w="1099" w:type="pct"/>
          </w:tcPr>
          <w:p w14:paraId="37E1AD5B" w14:textId="77777777" w:rsidR="00572D5A" w:rsidRPr="00693888" w:rsidRDefault="00572D5A" w:rsidP="00F864C9">
            <w:pPr>
              <w:pStyle w:val="Tablecopy"/>
              <w:rPr>
                <w:b w:val="0"/>
                <w:sz w:val="18"/>
              </w:rPr>
            </w:pPr>
            <w:r w:rsidRPr="00693888">
              <w:rPr>
                <w:b w:val="0"/>
                <w:sz w:val="18"/>
              </w:rPr>
              <w:t>Australian fixed income</w:t>
            </w:r>
          </w:p>
        </w:tc>
        <w:tc>
          <w:tcPr>
            <w:tcW w:w="962" w:type="pct"/>
            <w:vAlign w:val="center"/>
          </w:tcPr>
          <w:p w14:paraId="67C43F0B"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w:t>
            </w:r>
          </w:p>
        </w:tc>
        <w:tc>
          <w:tcPr>
            <w:tcW w:w="618" w:type="pct"/>
            <w:vAlign w:val="center"/>
          </w:tcPr>
          <w:p w14:paraId="6EB371AB"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+0.1</w:t>
            </w:r>
          </w:p>
        </w:tc>
        <w:tc>
          <w:tcPr>
            <w:tcW w:w="755" w:type="pct"/>
            <w:vAlign w:val="center"/>
          </w:tcPr>
          <w:p w14:paraId="751CA3C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+0.1</w:t>
            </w:r>
          </w:p>
        </w:tc>
        <w:tc>
          <w:tcPr>
            <w:tcW w:w="732" w:type="pct"/>
            <w:vAlign w:val="center"/>
          </w:tcPr>
          <w:p w14:paraId="66C50B3F"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w:t>
            </w:r>
          </w:p>
        </w:tc>
        <w:tc>
          <w:tcPr>
            <w:tcW w:w="834" w:type="pct"/>
            <w:vAlign w:val="center"/>
          </w:tcPr>
          <w:p w14:paraId="304D6201"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18"/>
              </w:rPr>
            </w:pPr>
            <w:r w:rsidRPr="00693888">
              <w:rPr>
                <w:rFonts w:asciiTheme="majorHAnsi" w:hAnsiTheme="majorHAnsi" w:cstheme="majorHAnsi"/>
                <w:color w:val="000000"/>
                <w:sz w:val="18"/>
              </w:rPr>
              <w:t>-</w:t>
            </w:r>
          </w:p>
        </w:tc>
      </w:tr>
      <w:tr w:rsidR="00572D5A" w:rsidRPr="00B256B7" w14:paraId="0217E8E7" w14:textId="77777777" w:rsidTr="00F864C9">
        <w:tc>
          <w:tcPr>
            <w:cnfStyle w:val="001000000000" w:firstRow="0" w:lastRow="0" w:firstColumn="1" w:lastColumn="0" w:oddVBand="0" w:evenVBand="0" w:oddHBand="0" w:evenHBand="0" w:firstRowFirstColumn="0" w:firstRowLastColumn="0" w:lastRowFirstColumn="0" w:lastRowLastColumn="0"/>
            <w:tcW w:w="1099" w:type="pct"/>
          </w:tcPr>
          <w:p w14:paraId="06D5C67E" w14:textId="77777777" w:rsidR="00572D5A" w:rsidRPr="00693888" w:rsidRDefault="00572D5A" w:rsidP="00F864C9">
            <w:pPr>
              <w:pStyle w:val="Tablecopy"/>
              <w:rPr>
                <w:b w:val="0"/>
                <w:sz w:val="18"/>
              </w:rPr>
            </w:pPr>
            <w:r w:rsidRPr="00693888">
              <w:rPr>
                <w:b w:val="0"/>
                <w:sz w:val="18"/>
              </w:rPr>
              <w:t>Global listed infrastructure</w:t>
            </w:r>
          </w:p>
        </w:tc>
        <w:tc>
          <w:tcPr>
            <w:tcW w:w="962" w:type="pct"/>
            <w:vAlign w:val="center"/>
          </w:tcPr>
          <w:p w14:paraId="522C7DE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w:t>
            </w:r>
          </w:p>
        </w:tc>
        <w:tc>
          <w:tcPr>
            <w:tcW w:w="618" w:type="pct"/>
            <w:vAlign w:val="center"/>
          </w:tcPr>
          <w:p w14:paraId="0FE7E91B"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w:t>
            </w:r>
          </w:p>
        </w:tc>
        <w:tc>
          <w:tcPr>
            <w:tcW w:w="755" w:type="pct"/>
            <w:vAlign w:val="center"/>
          </w:tcPr>
          <w:p w14:paraId="4EE67BE3"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w:t>
            </w:r>
          </w:p>
        </w:tc>
        <w:tc>
          <w:tcPr>
            <w:tcW w:w="732" w:type="pct"/>
            <w:vAlign w:val="center"/>
          </w:tcPr>
          <w:p w14:paraId="7B2B8D73"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+0.5</w:t>
            </w:r>
          </w:p>
        </w:tc>
        <w:tc>
          <w:tcPr>
            <w:tcW w:w="834" w:type="pct"/>
            <w:vAlign w:val="center"/>
          </w:tcPr>
          <w:p w14:paraId="50DE7AC0"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w:t>
            </w:r>
          </w:p>
        </w:tc>
      </w:tr>
      <w:tr w:rsidR="00572D5A" w:rsidRPr="00B256B7" w14:paraId="53BC82FE" w14:textId="77777777" w:rsidTr="00F864C9">
        <w:tc>
          <w:tcPr>
            <w:cnfStyle w:val="001000000000" w:firstRow="0" w:lastRow="0" w:firstColumn="1" w:lastColumn="0" w:oddVBand="0" w:evenVBand="0" w:oddHBand="0" w:evenHBand="0" w:firstRowFirstColumn="0" w:firstRowLastColumn="0" w:lastRowFirstColumn="0" w:lastRowLastColumn="0"/>
            <w:tcW w:w="1099" w:type="pct"/>
          </w:tcPr>
          <w:p w14:paraId="6A4E8E87" w14:textId="77777777" w:rsidR="00572D5A" w:rsidRPr="00693888" w:rsidRDefault="00572D5A" w:rsidP="00F864C9">
            <w:pPr>
              <w:pStyle w:val="Tablecopy"/>
              <w:rPr>
                <w:b w:val="0"/>
                <w:sz w:val="18"/>
              </w:rPr>
            </w:pPr>
            <w:r w:rsidRPr="00693888">
              <w:rPr>
                <w:b w:val="0"/>
                <w:sz w:val="18"/>
              </w:rPr>
              <w:t>Cash</w:t>
            </w:r>
          </w:p>
        </w:tc>
        <w:tc>
          <w:tcPr>
            <w:tcW w:w="962" w:type="pct"/>
            <w:vAlign w:val="center"/>
          </w:tcPr>
          <w:p w14:paraId="62BEBC1E"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w:t>
            </w:r>
          </w:p>
        </w:tc>
        <w:tc>
          <w:tcPr>
            <w:tcW w:w="618" w:type="pct"/>
            <w:vAlign w:val="center"/>
          </w:tcPr>
          <w:p w14:paraId="4A43AB08"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+0.4</w:t>
            </w:r>
          </w:p>
        </w:tc>
        <w:tc>
          <w:tcPr>
            <w:tcW w:w="755" w:type="pct"/>
            <w:vAlign w:val="center"/>
          </w:tcPr>
          <w:p w14:paraId="21052D79"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+0.4</w:t>
            </w:r>
          </w:p>
        </w:tc>
        <w:tc>
          <w:tcPr>
            <w:tcW w:w="732" w:type="pct"/>
            <w:vAlign w:val="center"/>
          </w:tcPr>
          <w:p w14:paraId="5EAE2D15"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-0.1</w:t>
            </w:r>
          </w:p>
        </w:tc>
        <w:tc>
          <w:tcPr>
            <w:tcW w:w="834" w:type="pct"/>
            <w:vAlign w:val="center"/>
          </w:tcPr>
          <w:p w14:paraId="5B046C53" w14:textId="77777777" w:rsidR="00572D5A" w:rsidRPr="00693888" w:rsidRDefault="00572D5A" w:rsidP="00F864C9">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highlight w:val="yellow"/>
              </w:rPr>
            </w:pPr>
            <w:r w:rsidRPr="00693888">
              <w:rPr>
                <w:rFonts w:asciiTheme="majorHAnsi" w:hAnsiTheme="majorHAnsi" w:cstheme="majorHAnsi"/>
                <w:color w:val="000000"/>
                <w:sz w:val="18"/>
              </w:rPr>
              <w:t>-</w:t>
            </w:r>
          </w:p>
        </w:tc>
      </w:tr>
    </w:tbl>
    <w:p w14:paraId="590DC2EE" w14:textId="7F633855" w:rsidR="00A70BBF" w:rsidRPr="00572D5A" w:rsidRDefault="00A70BBF" w:rsidP="00572D5A">
      <w:pPr>
        <w:rPr>
          <w:rFonts w:asciiTheme="majorHAnsi" w:hAnsiTheme="majorHAnsi" w:cstheme="majorHAnsi"/>
          <w:b/>
          <w:bCs/>
          <w:color w:val="005596"/>
          <w:sz w:val="28"/>
          <w:szCs w:val="40"/>
        </w:rPr>
      </w:pPr>
      <w:r>
        <w:br w:type="page"/>
      </w:r>
    </w:p>
    <w:p w14:paraId="7D1177D8" w14:textId="2BCC560C" w:rsidR="00C5126B" w:rsidRDefault="00827E28" w:rsidP="00572D5A">
      <w:pPr>
        <w:pStyle w:val="Heading1"/>
        <w:spacing w:before="240"/>
      </w:pPr>
      <w:r w:rsidRPr="00827E28">
        <w:lastRenderedPageBreak/>
        <w:t>Final asset class exposure after these changes (%)</w:t>
      </w:r>
      <w:r>
        <w:rPr>
          <w:rStyle w:val="FootnoteReference"/>
        </w:rPr>
        <w:footnoteReference w:id="2"/>
      </w:r>
    </w:p>
    <w:tbl>
      <w:tblPr>
        <w:tblStyle w:val="RPtable1"/>
        <w:tblW w:w="5000" w:type="pct"/>
        <w:tblLook w:val="06A0" w:firstRow="1" w:lastRow="0" w:firstColumn="1" w:lastColumn="0" w:noHBand="1" w:noVBand="1"/>
      </w:tblPr>
      <w:tblGrid>
        <w:gridCol w:w="2692"/>
        <w:gridCol w:w="2126"/>
        <w:gridCol w:w="1133"/>
        <w:gridCol w:w="1420"/>
        <w:gridCol w:w="1418"/>
        <w:gridCol w:w="1529"/>
      </w:tblGrid>
      <w:tr w:rsidR="00693888" w14:paraId="26636421" w14:textId="77777777" w:rsidTr="00A70B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pct"/>
            <w:vMerge w:val="restart"/>
          </w:tcPr>
          <w:p w14:paraId="29C740B9" w14:textId="77777777" w:rsidR="00693888" w:rsidRPr="00693888" w:rsidRDefault="00693888" w:rsidP="00F864C9">
            <w:pPr>
              <w:pStyle w:val="Tablecopy"/>
              <w:rPr>
                <w:sz w:val="18"/>
                <w:szCs w:val="22"/>
              </w:rPr>
            </w:pPr>
            <w:r w:rsidRPr="00693888">
              <w:rPr>
                <w:sz w:val="18"/>
                <w:szCs w:val="22"/>
              </w:rPr>
              <w:t>ASSET CLASS</w:t>
            </w:r>
          </w:p>
        </w:tc>
        <w:tc>
          <w:tcPr>
            <w:tcW w:w="3695" w:type="pct"/>
            <w:gridSpan w:val="5"/>
          </w:tcPr>
          <w:p w14:paraId="5C0AD392" w14:textId="77777777" w:rsidR="00693888" w:rsidRPr="00693888" w:rsidRDefault="00693888" w:rsidP="00F864C9">
            <w:pPr>
              <w:pStyle w:val="Tablecopy"/>
              <w:jc w:val="center"/>
              <w:cnfStyle w:val="100000000000" w:firstRow="1" w:lastRow="0" w:firstColumn="0" w:lastColumn="0" w:oddVBand="0" w:evenVBand="0" w:oddHBand="0" w:evenHBand="0" w:firstRowFirstColumn="0" w:firstRowLastColumn="0" w:lastRowFirstColumn="0" w:lastRowLastColumn="0"/>
              <w:rPr>
                <w:b w:val="0"/>
                <w:caps w:val="0"/>
                <w:sz w:val="18"/>
                <w:szCs w:val="22"/>
              </w:rPr>
            </w:pPr>
            <w:r w:rsidRPr="00693888">
              <w:rPr>
                <w:sz w:val="18"/>
                <w:szCs w:val="22"/>
              </w:rPr>
              <w:t>RISK PROFILE</w:t>
            </w:r>
          </w:p>
        </w:tc>
      </w:tr>
      <w:tr w:rsidR="00693888" w14:paraId="70A1E78E" w14:textId="77777777" w:rsidTr="00A70BBF">
        <w:tc>
          <w:tcPr>
            <w:cnfStyle w:val="001000000000" w:firstRow="0" w:lastRow="0" w:firstColumn="1" w:lastColumn="0" w:oddVBand="0" w:evenVBand="0" w:oddHBand="0" w:evenHBand="0" w:firstRowFirstColumn="0" w:firstRowLastColumn="0" w:lastRowFirstColumn="0" w:lastRowLastColumn="0"/>
            <w:tcW w:w="1305" w:type="pct"/>
            <w:vMerge/>
            <w:tcBorders>
              <w:bottom w:val="single" w:sz="36" w:space="0" w:color="auto"/>
            </w:tcBorders>
          </w:tcPr>
          <w:p w14:paraId="4E050288" w14:textId="77777777" w:rsidR="00693888" w:rsidRPr="00693888" w:rsidRDefault="00693888" w:rsidP="00F864C9">
            <w:pPr>
              <w:pStyle w:val="Tablecopy"/>
              <w:rPr>
                <w:sz w:val="18"/>
                <w:szCs w:val="22"/>
              </w:rPr>
            </w:pPr>
          </w:p>
        </w:tc>
        <w:tc>
          <w:tcPr>
            <w:tcW w:w="1030" w:type="pct"/>
            <w:tcBorders>
              <w:bottom w:val="single" w:sz="36" w:space="0" w:color="auto"/>
            </w:tcBorders>
            <w:shd w:val="clear" w:color="auto" w:fill="DEDFDF" w:themeFill="text2" w:themeFillTint="33"/>
          </w:tcPr>
          <w:p w14:paraId="313EEC41" w14:textId="77777777" w:rsidR="00693888" w:rsidRPr="00693888" w:rsidRDefault="00693888" w:rsidP="00F864C9">
            <w:pPr>
              <w:pStyle w:val="Tablecopy"/>
              <w:jc w:val="center"/>
              <w:cnfStyle w:val="000000000000" w:firstRow="0" w:lastRow="0" w:firstColumn="0" w:lastColumn="0" w:oddVBand="0" w:evenVBand="0" w:oddHBand="0" w:evenHBand="0" w:firstRowFirstColumn="0" w:firstRowLastColumn="0" w:lastRowFirstColumn="0" w:lastRowLastColumn="0"/>
              <w:rPr>
                <w:b/>
                <w:bCs/>
                <w:sz w:val="18"/>
                <w:szCs w:val="22"/>
              </w:rPr>
            </w:pPr>
            <w:r w:rsidRPr="00693888">
              <w:rPr>
                <w:b/>
                <w:bCs/>
                <w:sz w:val="18"/>
                <w:szCs w:val="22"/>
              </w:rPr>
              <w:t>CONSERVATIVE</w:t>
            </w:r>
          </w:p>
        </w:tc>
        <w:tc>
          <w:tcPr>
            <w:tcW w:w="549" w:type="pct"/>
            <w:tcBorders>
              <w:bottom w:val="single" w:sz="36" w:space="0" w:color="auto"/>
            </w:tcBorders>
            <w:shd w:val="clear" w:color="auto" w:fill="DEDFDF" w:themeFill="text2" w:themeFillTint="33"/>
          </w:tcPr>
          <w:p w14:paraId="55FA5314" w14:textId="77777777" w:rsidR="00693888" w:rsidRPr="00693888" w:rsidRDefault="00693888"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DIV 50</w:t>
            </w:r>
          </w:p>
        </w:tc>
        <w:tc>
          <w:tcPr>
            <w:tcW w:w="688" w:type="pct"/>
            <w:tcBorders>
              <w:bottom w:val="single" w:sz="36" w:space="0" w:color="auto"/>
            </w:tcBorders>
            <w:shd w:val="clear" w:color="auto" w:fill="DEDFDF" w:themeFill="text2" w:themeFillTint="33"/>
          </w:tcPr>
          <w:p w14:paraId="7F51FB75" w14:textId="77777777" w:rsidR="00693888" w:rsidRPr="00693888" w:rsidRDefault="00693888"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BALANCED</w:t>
            </w:r>
          </w:p>
        </w:tc>
        <w:tc>
          <w:tcPr>
            <w:tcW w:w="687" w:type="pct"/>
            <w:tcBorders>
              <w:bottom w:val="single" w:sz="36" w:space="0" w:color="auto"/>
            </w:tcBorders>
            <w:shd w:val="clear" w:color="auto" w:fill="DEDFDF" w:themeFill="text2" w:themeFillTint="33"/>
          </w:tcPr>
          <w:p w14:paraId="0728A581" w14:textId="77777777" w:rsidR="00693888" w:rsidRPr="00693888" w:rsidRDefault="00693888"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GROWTH</w:t>
            </w:r>
          </w:p>
        </w:tc>
        <w:tc>
          <w:tcPr>
            <w:tcW w:w="741" w:type="pct"/>
            <w:tcBorders>
              <w:bottom w:val="single" w:sz="36" w:space="0" w:color="auto"/>
            </w:tcBorders>
            <w:shd w:val="clear" w:color="auto" w:fill="DEDFDF" w:themeFill="text2" w:themeFillTint="33"/>
          </w:tcPr>
          <w:p w14:paraId="3D61EBDA" w14:textId="77777777" w:rsidR="00693888" w:rsidRPr="00693888" w:rsidRDefault="00693888" w:rsidP="00F864C9">
            <w:pPr>
              <w:pStyle w:val="Tablecopy"/>
              <w:jc w:val="center"/>
              <w:cnfStyle w:val="000000000000" w:firstRow="0" w:lastRow="0" w:firstColumn="0" w:lastColumn="0" w:oddVBand="0" w:evenVBand="0" w:oddHBand="0" w:evenHBand="0" w:firstRowFirstColumn="0" w:firstRowLastColumn="0" w:lastRowFirstColumn="0" w:lastRowLastColumn="0"/>
              <w:rPr>
                <w:b/>
                <w:bCs/>
                <w:caps/>
                <w:sz w:val="18"/>
                <w:szCs w:val="22"/>
              </w:rPr>
            </w:pPr>
            <w:r w:rsidRPr="00693888">
              <w:rPr>
                <w:b/>
                <w:bCs/>
                <w:caps/>
                <w:sz w:val="18"/>
                <w:szCs w:val="22"/>
              </w:rPr>
              <w:t>HIGH GROWTH</w:t>
            </w:r>
          </w:p>
        </w:tc>
      </w:tr>
      <w:tr w:rsidR="00693888" w:rsidRPr="00693888" w14:paraId="30124376"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31D30704" w14:textId="15750C8F" w:rsidR="00693888" w:rsidRPr="00693888" w:rsidRDefault="00693888" w:rsidP="00693888">
            <w:pPr>
              <w:pStyle w:val="Tablecopy"/>
              <w:rPr>
                <w:sz w:val="18"/>
              </w:rPr>
            </w:pPr>
            <w:r w:rsidRPr="00693888">
              <w:rPr>
                <w:sz w:val="18"/>
              </w:rPr>
              <w:t>GROWTH ASSETS</w:t>
            </w:r>
          </w:p>
        </w:tc>
        <w:tc>
          <w:tcPr>
            <w:tcW w:w="1030" w:type="pct"/>
            <w:vAlign w:val="bottom"/>
          </w:tcPr>
          <w:p w14:paraId="07C0F395" w14:textId="3E8A8301"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31.8</w:t>
            </w:r>
          </w:p>
        </w:tc>
        <w:tc>
          <w:tcPr>
            <w:tcW w:w="549" w:type="pct"/>
            <w:vAlign w:val="bottom"/>
          </w:tcPr>
          <w:p w14:paraId="104D52EB" w14:textId="787629DA"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50.8</w:t>
            </w:r>
          </w:p>
        </w:tc>
        <w:tc>
          <w:tcPr>
            <w:tcW w:w="688" w:type="pct"/>
            <w:vAlign w:val="bottom"/>
          </w:tcPr>
          <w:p w14:paraId="0172AA8C" w14:textId="27D60530"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67.4</w:t>
            </w:r>
          </w:p>
        </w:tc>
        <w:tc>
          <w:tcPr>
            <w:tcW w:w="687" w:type="pct"/>
            <w:vAlign w:val="bottom"/>
          </w:tcPr>
          <w:p w14:paraId="27057C4A" w14:textId="69783E1E"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83.2</w:t>
            </w:r>
          </w:p>
        </w:tc>
        <w:tc>
          <w:tcPr>
            <w:tcW w:w="741" w:type="pct"/>
            <w:vAlign w:val="bottom"/>
          </w:tcPr>
          <w:p w14:paraId="187DE04A" w14:textId="5CD411E3"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97.5</w:t>
            </w:r>
          </w:p>
        </w:tc>
      </w:tr>
      <w:tr w:rsidR="00693888" w:rsidRPr="00B256B7" w14:paraId="0D75CC7E"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47B2D1C5" w14:textId="1612739E" w:rsidR="00693888" w:rsidRPr="00693888" w:rsidRDefault="00693888" w:rsidP="00693888">
            <w:pPr>
              <w:pStyle w:val="Tablecopy"/>
              <w:rPr>
                <w:b w:val="0"/>
                <w:bCs/>
                <w:sz w:val="18"/>
              </w:rPr>
            </w:pPr>
            <w:r w:rsidRPr="00693888">
              <w:rPr>
                <w:b w:val="0"/>
                <w:bCs/>
                <w:sz w:val="18"/>
              </w:rPr>
              <w:t>Australian equity</w:t>
            </w:r>
          </w:p>
        </w:tc>
        <w:tc>
          <w:tcPr>
            <w:tcW w:w="1030" w:type="pct"/>
            <w:vAlign w:val="bottom"/>
          </w:tcPr>
          <w:p w14:paraId="32264C7B" w14:textId="1FA95B4C"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13.1</w:t>
            </w:r>
          </w:p>
        </w:tc>
        <w:tc>
          <w:tcPr>
            <w:tcW w:w="549" w:type="pct"/>
            <w:vAlign w:val="bottom"/>
          </w:tcPr>
          <w:p w14:paraId="0250E354" w14:textId="51C07060"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21.4</w:t>
            </w:r>
          </w:p>
        </w:tc>
        <w:tc>
          <w:tcPr>
            <w:tcW w:w="688" w:type="pct"/>
            <w:vAlign w:val="bottom"/>
          </w:tcPr>
          <w:p w14:paraId="742DBC6B" w14:textId="539744D0"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29.4</w:t>
            </w:r>
          </w:p>
        </w:tc>
        <w:tc>
          <w:tcPr>
            <w:tcW w:w="687" w:type="pct"/>
            <w:vAlign w:val="bottom"/>
          </w:tcPr>
          <w:p w14:paraId="19A249D7" w14:textId="0F5484A2"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36.2</w:t>
            </w:r>
          </w:p>
        </w:tc>
        <w:tc>
          <w:tcPr>
            <w:tcW w:w="741" w:type="pct"/>
            <w:vAlign w:val="bottom"/>
          </w:tcPr>
          <w:p w14:paraId="01F775FB" w14:textId="62427DDB"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41.9</w:t>
            </w:r>
          </w:p>
        </w:tc>
      </w:tr>
      <w:tr w:rsidR="00693888" w:rsidRPr="00B256B7" w14:paraId="3063D301"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7B32BAFD" w14:textId="4255D5EF" w:rsidR="00693888" w:rsidRPr="00693888" w:rsidRDefault="00693888" w:rsidP="00693888">
            <w:pPr>
              <w:pStyle w:val="Tablecopy"/>
              <w:rPr>
                <w:b w:val="0"/>
                <w:bCs/>
                <w:sz w:val="18"/>
              </w:rPr>
            </w:pPr>
            <w:r w:rsidRPr="00693888">
              <w:rPr>
                <w:b w:val="0"/>
                <w:bCs/>
                <w:sz w:val="18"/>
              </w:rPr>
              <w:t>Global equity</w:t>
            </w:r>
          </w:p>
        </w:tc>
        <w:tc>
          <w:tcPr>
            <w:tcW w:w="1030" w:type="pct"/>
            <w:vAlign w:val="bottom"/>
          </w:tcPr>
          <w:p w14:paraId="643C7C1C" w14:textId="11E39F62"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12.7</w:t>
            </w:r>
          </w:p>
        </w:tc>
        <w:tc>
          <w:tcPr>
            <w:tcW w:w="549" w:type="pct"/>
            <w:vAlign w:val="bottom"/>
          </w:tcPr>
          <w:p w14:paraId="7F723647" w14:textId="400E8513"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22.7</w:t>
            </w:r>
          </w:p>
        </w:tc>
        <w:tc>
          <w:tcPr>
            <w:tcW w:w="688" w:type="pct"/>
            <w:vAlign w:val="bottom"/>
          </w:tcPr>
          <w:p w14:paraId="5B994883" w14:textId="0006428C"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29.5</w:t>
            </w:r>
          </w:p>
        </w:tc>
        <w:tc>
          <w:tcPr>
            <w:tcW w:w="687" w:type="pct"/>
            <w:vAlign w:val="bottom"/>
          </w:tcPr>
          <w:p w14:paraId="227FBA36" w14:textId="59602ACF"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37.9</w:t>
            </w:r>
          </w:p>
        </w:tc>
        <w:tc>
          <w:tcPr>
            <w:tcW w:w="741" w:type="pct"/>
            <w:vAlign w:val="bottom"/>
          </w:tcPr>
          <w:p w14:paraId="19175D52" w14:textId="005C7215"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43.6</w:t>
            </w:r>
          </w:p>
        </w:tc>
      </w:tr>
      <w:tr w:rsidR="00693888" w:rsidRPr="00B256B7" w14:paraId="76A540E0"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00A29A65" w14:textId="61B10A01" w:rsidR="00693888" w:rsidRPr="00693888" w:rsidRDefault="00693888" w:rsidP="00693888">
            <w:pPr>
              <w:pStyle w:val="Tablecopy"/>
              <w:rPr>
                <w:b w:val="0"/>
                <w:bCs/>
                <w:sz w:val="18"/>
              </w:rPr>
            </w:pPr>
            <w:r w:rsidRPr="00693888">
              <w:rPr>
                <w:b w:val="0"/>
                <w:bCs/>
                <w:sz w:val="18"/>
              </w:rPr>
              <w:t>Australian property</w:t>
            </w:r>
          </w:p>
        </w:tc>
        <w:tc>
          <w:tcPr>
            <w:tcW w:w="1030" w:type="pct"/>
            <w:vAlign w:val="bottom"/>
          </w:tcPr>
          <w:p w14:paraId="7909BDAD" w14:textId="3F01CA98"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0.7</w:t>
            </w:r>
          </w:p>
        </w:tc>
        <w:tc>
          <w:tcPr>
            <w:tcW w:w="549" w:type="pct"/>
            <w:vAlign w:val="bottom"/>
          </w:tcPr>
          <w:p w14:paraId="05BE7D67" w14:textId="3E5C8B8F"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0.9</w:t>
            </w:r>
          </w:p>
        </w:tc>
        <w:tc>
          <w:tcPr>
            <w:tcW w:w="688" w:type="pct"/>
            <w:vAlign w:val="bottom"/>
          </w:tcPr>
          <w:p w14:paraId="77DD987B" w14:textId="081E2B57"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1.4</w:t>
            </w:r>
          </w:p>
        </w:tc>
        <w:tc>
          <w:tcPr>
            <w:tcW w:w="687" w:type="pct"/>
            <w:vAlign w:val="bottom"/>
          </w:tcPr>
          <w:p w14:paraId="0B2F8C24" w14:textId="7EAFF144"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1.8</w:t>
            </w:r>
          </w:p>
        </w:tc>
        <w:tc>
          <w:tcPr>
            <w:tcW w:w="741" w:type="pct"/>
            <w:vAlign w:val="bottom"/>
          </w:tcPr>
          <w:p w14:paraId="3A1FF275" w14:textId="0D719A31"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3.6</w:t>
            </w:r>
          </w:p>
        </w:tc>
      </w:tr>
      <w:tr w:rsidR="00693888" w:rsidRPr="00B256B7" w14:paraId="7D7F6FC3"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2A50E2CB" w14:textId="5A34F2DC" w:rsidR="00693888" w:rsidRPr="00693888" w:rsidRDefault="00693888" w:rsidP="00693888">
            <w:pPr>
              <w:pStyle w:val="Tablecopy"/>
              <w:rPr>
                <w:b w:val="0"/>
                <w:bCs/>
                <w:sz w:val="18"/>
              </w:rPr>
            </w:pPr>
            <w:r w:rsidRPr="00693888">
              <w:rPr>
                <w:b w:val="0"/>
                <w:bCs/>
                <w:sz w:val="18"/>
              </w:rPr>
              <w:t>Global property</w:t>
            </w:r>
          </w:p>
        </w:tc>
        <w:tc>
          <w:tcPr>
            <w:tcW w:w="1030" w:type="pct"/>
            <w:vAlign w:val="bottom"/>
          </w:tcPr>
          <w:p w14:paraId="7C194E20" w14:textId="3C55D071"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2.1</w:t>
            </w:r>
          </w:p>
        </w:tc>
        <w:tc>
          <w:tcPr>
            <w:tcW w:w="549" w:type="pct"/>
            <w:vAlign w:val="bottom"/>
          </w:tcPr>
          <w:p w14:paraId="71D70D4B" w14:textId="432A55D1"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3.2</w:t>
            </w:r>
          </w:p>
        </w:tc>
        <w:tc>
          <w:tcPr>
            <w:tcW w:w="688" w:type="pct"/>
            <w:vAlign w:val="bottom"/>
          </w:tcPr>
          <w:p w14:paraId="6225F732" w14:textId="4A2B19CD"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4.2</w:t>
            </w:r>
          </w:p>
        </w:tc>
        <w:tc>
          <w:tcPr>
            <w:tcW w:w="687" w:type="pct"/>
            <w:vAlign w:val="bottom"/>
          </w:tcPr>
          <w:p w14:paraId="65892A3B" w14:textId="7289B65F"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4.0</w:t>
            </w:r>
          </w:p>
        </w:tc>
        <w:tc>
          <w:tcPr>
            <w:tcW w:w="741" w:type="pct"/>
            <w:vAlign w:val="bottom"/>
          </w:tcPr>
          <w:p w14:paraId="5A25F6F1" w14:textId="28263FBE"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4.1</w:t>
            </w:r>
          </w:p>
        </w:tc>
      </w:tr>
      <w:tr w:rsidR="00693888" w:rsidRPr="00B256B7" w14:paraId="3261C308"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5D83C658" w14:textId="5E681EC8" w:rsidR="00693888" w:rsidRPr="00693888" w:rsidRDefault="00693888" w:rsidP="00693888">
            <w:pPr>
              <w:pStyle w:val="Tablecopy"/>
              <w:rPr>
                <w:b w:val="0"/>
                <w:bCs/>
                <w:sz w:val="18"/>
              </w:rPr>
            </w:pPr>
            <w:r w:rsidRPr="00693888">
              <w:rPr>
                <w:b w:val="0"/>
                <w:bCs/>
                <w:sz w:val="18"/>
              </w:rPr>
              <w:t>Infrastructure</w:t>
            </w:r>
          </w:p>
        </w:tc>
        <w:tc>
          <w:tcPr>
            <w:tcW w:w="1030" w:type="pct"/>
            <w:vAlign w:val="bottom"/>
          </w:tcPr>
          <w:p w14:paraId="235D091E" w14:textId="5B71D8CA"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1.5</w:t>
            </w:r>
          </w:p>
        </w:tc>
        <w:tc>
          <w:tcPr>
            <w:tcW w:w="549" w:type="pct"/>
            <w:vAlign w:val="bottom"/>
          </w:tcPr>
          <w:p w14:paraId="433393FF" w14:textId="39969A12"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1.4</w:t>
            </w:r>
          </w:p>
        </w:tc>
        <w:tc>
          <w:tcPr>
            <w:tcW w:w="688" w:type="pct"/>
            <w:vAlign w:val="bottom"/>
          </w:tcPr>
          <w:p w14:paraId="2CC17E25" w14:textId="61A17276"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2.3</w:t>
            </w:r>
          </w:p>
        </w:tc>
        <w:tc>
          <w:tcPr>
            <w:tcW w:w="687" w:type="pct"/>
            <w:vAlign w:val="bottom"/>
          </w:tcPr>
          <w:p w14:paraId="1611297C" w14:textId="09B1157A"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2.7</w:t>
            </w:r>
          </w:p>
        </w:tc>
        <w:tc>
          <w:tcPr>
            <w:tcW w:w="741" w:type="pct"/>
            <w:vAlign w:val="bottom"/>
          </w:tcPr>
          <w:p w14:paraId="2B713DEF" w14:textId="69919F6B"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4.2</w:t>
            </w:r>
          </w:p>
        </w:tc>
      </w:tr>
      <w:tr w:rsidR="00693888" w:rsidRPr="00B256B7" w14:paraId="023417C4"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40E47CFD" w14:textId="129DAB42" w:rsidR="00693888" w:rsidRPr="00693888" w:rsidRDefault="00693888" w:rsidP="00693888">
            <w:pPr>
              <w:pStyle w:val="Tablecopy"/>
              <w:rPr>
                <w:b w:val="0"/>
                <w:bCs/>
                <w:sz w:val="18"/>
              </w:rPr>
            </w:pPr>
            <w:r w:rsidRPr="00693888">
              <w:rPr>
                <w:b w:val="0"/>
                <w:bCs/>
                <w:sz w:val="18"/>
              </w:rPr>
              <w:t>Growth alternatives</w:t>
            </w:r>
          </w:p>
        </w:tc>
        <w:tc>
          <w:tcPr>
            <w:tcW w:w="1030" w:type="pct"/>
            <w:vAlign w:val="bottom"/>
          </w:tcPr>
          <w:p w14:paraId="189BD96B" w14:textId="45BFBF38"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c>
          <w:tcPr>
            <w:tcW w:w="549" w:type="pct"/>
            <w:vAlign w:val="bottom"/>
          </w:tcPr>
          <w:p w14:paraId="2DF099BD" w14:textId="6817A2AE"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c>
          <w:tcPr>
            <w:tcW w:w="688" w:type="pct"/>
            <w:vAlign w:val="bottom"/>
          </w:tcPr>
          <w:p w14:paraId="0246C686" w14:textId="6DC8D728"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c>
          <w:tcPr>
            <w:tcW w:w="687" w:type="pct"/>
            <w:vAlign w:val="bottom"/>
          </w:tcPr>
          <w:p w14:paraId="703AB481" w14:textId="4CF31397"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c>
          <w:tcPr>
            <w:tcW w:w="741" w:type="pct"/>
            <w:vAlign w:val="bottom"/>
          </w:tcPr>
          <w:p w14:paraId="172BB10E" w14:textId="24435DA6"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r>
      <w:tr w:rsidR="00693888" w:rsidRPr="00B256B7" w14:paraId="7ECF2704"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56819FE9" w14:textId="476C8252" w:rsidR="00693888" w:rsidRPr="00693888" w:rsidRDefault="00693888" w:rsidP="00693888">
            <w:pPr>
              <w:pStyle w:val="Tablecopy"/>
              <w:rPr>
                <w:b w:val="0"/>
                <w:bCs/>
                <w:sz w:val="18"/>
              </w:rPr>
            </w:pPr>
            <w:r w:rsidRPr="00693888">
              <w:rPr>
                <w:b w:val="0"/>
                <w:bCs/>
                <w:sz w:val="18"/>
              </w:rPr>
              <w:t>Extended credit</w:t>
            </w:r>
          </w:p>
        </w:tc>
        <w:tc>
          <w:tcPr>
            <w:tcW w:w="1030" w:type="pct"/>
            <w:vAlign w:val="bottom"/>
          </w:tcPr>
          <w:p w14:paraId="45E08802" w14:textId="28D0558A"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1.8</w:t>
            </w:r>
          </w:p>
        </w:tc>
        <w:tc>
          <w:tcPr>
            <w:tcW w:w="549" w:type="pct"/>
            <w:vAlign w:val="bottom"/>
          </w:tcPr>
          <w:p w14:paraId="51CE90D0" w14:textId="5B6E4920"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1.3</w:t>
            </w:r>
          </w:p>
        </w:tc>
        <w:tc>
          <w:tcPr>
            <w:tcW w:w="688" w:type="pct"/>
            <w:vAlign w:val="bottom"/>
          </w:tcPr>
          <w:p w14:paraId="7C965E77" w14:textId="30F84118"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0.6</w:t>
            </w:r>
          </w:p>
        </w:tc>
        <w:tc>
          <w:tcPr>
            <w:tcW w:w="687" w:type="pct"/>
            <w:vAlign w:val="bottom"/>
          </w:tcPr>
          <w:p w14:paraId="2FB2F271" w14:textId="3EE601D9"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0.5</w:t>
            </w:r>
          </w:p>
        </w:tc>
        <w:tc>
          <w:tcPr>
            <w:tcW w:w="741" w:type="pct"/>
            <w:vAlign w:val="bottom"/>
          </w:tcPr>
          <w:p w14:paraId="7F0BB296" w14:textId="18E1AA4A"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r>
      <w:tr w:rsidR="00693888" w:rsidRPr="00693888" w14:paraId="139D8081"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5B9202A2" w14:textId="798BAA35" w:rsidR="00693888" w:rsidRPr="00693888" w:rsidRDefault="00693888" w:rsidP="00693888">
            <w:pPr>
              <w:pStyle w:val="Tablecopy"/>
              <w:rPr>
                <w:sz w:val="18"/>
              </w:rPr>
            </w:pPr>
            <w:r w:rsidRPr="00693888">
              <w:rPr>
                <w:sz w:val="18"/>
              </w:rPr>
              <w:t>DEFENSIVE ASSETS</w:t>
            </w:r>
          </w:p>
        </w:tc>
        <w:tc>
          <w:tcPr>
            <w:tcW w:w="1030" w:type="pct"/>
            <w:vAlign w:val="bottom"/>
          </w:tcPr>
          <w:p w14:paraId="0B7BEA34" w14:textId="147326A6"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68.2</w:t>
            </w:r>
          </w:p>
        </w:tc>
        <w:tc>
          <w:tcPr>
            <w:tcW w:w="549" w:type="pct"/>
            <w:vAlign w:val="bottom"/>
          </w:tcPr>
          <w:p w14:paraId="2BD48F34" w14:textId="209E733E"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49.2</w:t>
            </w:r>
          </w:p>
        </w:tc>
        <w:tc>
          <w:tcPr>
            <w:tcW w:w="688" w:type="pct"/>
            <w:vAlign w:val="bottom"/>
          </w:tcPr>
          <w:p w14:paraId="14868E37" w14:textId="79B7C931"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32.6</w:t>
            </w:r>
          </w:p>
        </w:tc>
        <w:tc>
          <w:tcPr>
            <w:tcW w:w="687" w:type="pct"/>
            <w:vAlign w:val="bottom"/>
          </w:tcPr>
          <w:p w14:paraId="090AA309" w14:textId="1AAE5B6F"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16.8</w:t>
            </w:r>
          </w:p>
        </w:tc>
        <w:tc>
          <w:tcPr>
            <w:tcW w:w="741" w:type="pct"/>
            <w:vAlign w:val="bottom"/>
          </w:tcPr>
          <w:p w14:paraId="781D3595" w14:textId="2DF663E7"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rPr>
            </w:pPr>
            <w:r w:rsidRPr="00693888">
              <w:rPr>
                <w:rFonts w:asciiTheme="majorHAnsi" w:hAnsiTheme="majorHAnsi" w:cstheme="majorHAnsi"/>
                <w:b/>
                <w:sz w:val="18"/>
              </w:rPr>
              <w:t>2.5</w:t>
            </w:r>
          </w:p>
        </w:tc>
      </w:tr>
      <w:tr w:rsidR="00693888" w:rsidRPr="00B256B7" w14:paraId="553F9987"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3D6579E8" w14:textId="434CF41F" w:rsidR="00693888" w:rsidRPr="00693888" w:rsidRDefault="00693888" w:rsidP="00693888">
            <w:pPr>
              <w:pStyle w:val="Tablecopy"/>
              <w:rPr>
                <w:b w:val="0"/>
                <w:bCs/>
                <w:sz w:val="18"/>
              </w:rPr>
            </w:pPr>
            <w:r w:rsidRPr="00693888">
              <w:rPr>
                <w:b w:val="0"/>
                <w:bCs/>
                <w:sz w:val="18"/>
              </w:rPr>
              <w:t>Loans &amp; absolute return credit</w:t>
            </w:r>
          </w:p>
        </w:tc>
        <w:tc>
          <w:tcPr>
            <w:tcW w:w="1030" w:type="pct"/>
            <w:vAlign w:val="bottom"/>
          </w:tcPr>
          <w:p w14:paraId="79029DE8" w14:textId="0600FDF8"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c>
          <w:tcPr>
            <w:tcW w:w="549" w:type="pct"/>
            <w:vAlign w:val="bottom"/>
          </w:tcPr>
          <w:p w14:paraId="7470CB4F" w14:textId="6F1BC54B"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c>
          <w:tcPr>
            <w:tcW w:w="688" w:type="pct"/>
            <w:vAlign w:val="bottom"/>
          </w:tcPr>
          <w:p w14:paraId="2634839F" w14:textId="176CC2EA"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c>
          <w:tcPr>
            <w:tcW w:w="687" w:type="pct"/>
            <w:vAlign w:val="bottom"/>
          </w:tcPr>
          <w:p w14:paraId="47AA3038" w14:textId="427E3771"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c>
          <w:tcPr>
            <w:tcW w:w="741" w:type="pct"/>
            <w:vAlign w:val="bottom"/>
          </w:tcPr>
          <w:p w14:paraId="6708BCCB" w14:textId="7F21B8DF"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r>
      <w:tr w:rsidR="00693888" w:rsidRPr="00B256B7" w14:paraId="34CB9069"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0EAAE82B" w14:textId="7A3E1A42" w:rsidR="00693888" w:rsidRPr="00693888" w:rsidRDefault="00693888" w:rsidP="00693888">
            <w:pPr>
              <w:pStyle w:val="Tablecopy"/>
              <w:rPr>
                <w:b w:val="0"/>
                <w:bCs/>
                <w:sz w:val="18"/>
              </w:rPr>
            </w:pPr>
            <w:r w:rsidRPr="00693888">
              <w:rPr>
                <w:b w:val="0"/>
                <w:bCs/>
                <w:sz w:val="18"/>
              </w:rPr>
              <w:t>Australian fixed income</w:t>
            </w:r>
          </w:p>
        </w:tc>
        <w:tc>
          <w:tcPr>
            <w:tcW w:w="1030" w:type="pct"/>
            <w:vAlign w:val="bottom"/>
          </w:tcPr>
          <w:p w14:paraId="4D997E68" w14:textId="4BBE4683"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22.8</w:t>
            </w:r>
          </w:p>
        </w:tc>
        <w:tc>
          <w:tcPr>
            <w:tcW w:w="549" w:type="pct"/>
            <w:vAlign w:val="bottom"/>
          </w:tcPr>
          <w:p w14:paraId="14932BE2" w14:textId="5DA3E109"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18.4</w:t>
            </w:r>
          </w:p>
        </w:tc>
        <w:tc>
          <w:tcPr>
            <w:tcW w:w="688" w:type="pct"/>
            <w:vAlign w:val="bottom"/>
          </w:tcPr>
          <w:p w14:paraId="6D07373E" w14:textId="72FD011D"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12.5</w:t>
            </w:r>
          </w:p>
        </w:tc>
        <w:tc>
          <w:tcPr>
            <w:tcW w:w="687" w:type="pct"/>
            <w:vAlign w:val="bottom"/>
          </w:tcPr>
          <w:p w14:paraId="48DF43ED" w14:textId="6F20B67C"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5.2</w:t>
            </w:r>
          </w:p>
        </w:tc>
        <w:tc>
          <w:tcPr>
            <w:tcW w:w="741" w:type="pct"/>
            <w:vAlign w:val="bottom"/>
          </w:tcPr>
          <w:p w14:paraId="383DC56C" w14:textId="5505A41D"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r>
      <w:tr w:rsidR="00693888" w:rsidRPr="00B256B7" w14:paraId="5F3E40AB"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0A43355D" w14:textId="3B823D61" w:rsidR="00693888" w:rsidRPr="00693888" w:rsidRDefault="00693888" w:rsidP="00693888">
            <w:pPr>
              <w:pStyle w:val="Tablecopy"/>
              <w:rPr>
                <w:b w:val="0"/>
                <w:bCs/>
                <w:sz w:val="18"/>
              </w:rPr>
            </w:pPr>
            <w:r w:rsidRPr="00693888">
              <w:rPr>
                <w:b w:val="0"/>
                <w:bCs/>
                <w:sz w:val="18"/>
              </w:rPr>
              <w:t>Global fixed income</w:t>
            </w:r>
          </w:p>
        </w:tc>
        <w:tc>
          <w:tcPr>
            <w:tcW w:w="1030" w:type="pct"/>
            <w:vAlign w:val="bottom"/>
          </w:tcPr>
          <w:p w14:paraId="4F62E95B" w14:textId="5475CA1F"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22.6</w:t>
            </w:r>
          </w:p>
        </w:tc>
        <w:tc>
          <w:tcPr>
            <w:tcW w:w="549" w:type="pct"/>
            <w:vAlign w:val="bottom"/>
          </w:tcPr>
          <w:p w14:paraId="209F2738" w14:textId="45D7DC15"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13.5</w:t>
            </w:r>
          </w:p>
        </w:tc>
        <w:tc>
          <w:tcPr>
            <w:tcW w:w="688" w:type="pct"/>
            <w:vAlign w:val="bottom"/>
          </w:tcPr>
          <w:p w14:paraId="14B05D0C" w14:textId="0522DCC9"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8.6</w:t>
            </w:r>
          </w:p>
        </w:tc>
        <w:tc>
          <w:tcPr>
            <w:tcW w:w="687" w:type="pct"/>
            <w:vAlign w:val="bottom"/>
          </w:tcPr>
          <w:p w14:paraId="4CEE56B2" w14:textId="257CC59E"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5.3</w:t>
            </w:r>
          </w:p>
        </w:tc>
        <w:tc>
          <w:tcPr>
            <w:tcW w:w="741" w:type="pct"/>
            <w:vAlign w:val="bottom"/>
          </w:tcPr>
          <w:p w14:paraId="6E80D37C" w14:textId="3EB5F386"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r>
      <w:tr w:rsidR="00693888" w:rsidRPr="00B256B7" w14:paraId="0B0A77A3"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48501DE5" w14:textId="0E797F31" w:rsidR="00693888" w:rsidRPr="00693888" w:rsidRDefault="00693888" w:rsidP="00693888">
            <w:pPr>
              <w:pStyle w:val="Tablecopy"/>
              <w:rPr>
                <w:b w:val="0"/>
                <w:bCs/>
                <w:sz w:val="18"/>
              </w:rPr>
            </w:pPr>
            <w:r w:rsidRPr="00693888">
              <w:rPr>
                <w:b w:val="0"/>
                <w:bCs/>
                <w:sz w:val="18"/>
              </w:rPr>
              <w:t>Defensive alternatives</w:t>
            </w:r>
          </w:p>
        </w:tc>
        <w:tc>
          <w:tcPr>
            <w:tcW w:w="1030" w:type="pct"/>
            <w:vAlign w:val="bottom"/>
          </w:tcPr>
          <w:p w14:paraId="4497B574" w14:textId="654C2D33"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3.7</w:t>
            </w:r>
          </w:p>
        </w:tc>
        <w:tc>
          <w:tcPr>
            <w:tcW w:w="549" w:type="pct"/>
            <w:vAlign w:val="bottom"/>
          </w:tcPr>
          <w:p w14:paraId="0B190620" w14:textId="366EEF58"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1.9</w:t>
            </w:r>
          </w:p>
        </w:tc>
        <w:tc>
          <w:tcPr>
            <w:tcW w:w="688" w:type="pct"/>
            <w:vAlign w:val="bottom"/>
          </w:tcPr>
          <w:p w14:paraId="5A0CAB14" w14:textId="58E0D96F"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1.8</w:t>
            </w:r>
          </w:p>
        </w:tc>
        <w:tc>
          <w:tcPr>
            <w:tcW w:w="687" w:type="pct"/>
            <w:vAlign w:val="bottom"/>
          </w:tcPr>
          <w:p w14:paraId="330BF39C" w14:textId="450268B1"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0.9</w:t>
            </w:r>
          </w:p>
        </w:tc>
        <w:tc>
          <w:tcPr>
            <w:tcW w:w="741" w:type="pct"/>
            <w:vAlign w:val="bottom"/>
          </w:tcPr>
          <w:p w14:paraId="6C8D7D3D" w14:textId="08772153"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r>
      <w:tr w:rsidR="00693888" w:rsidRPr="00B256B7" w14:paraId="2E4B9032"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5F511E08" w14:textId="6611432E" w:rsidR="00693888" w:rsidRPr="00693888" w:rsidRDefault="00693888" w:rsidP="00693888">
            <w:pPr>
              <w:pStyle w:val="Tablecopy"/>
              <w:rPr>
                <w:b w:val="0"/>
                <w:bCs/>
                <w:sz w:val="18"/>
              </w:rPr>
            </w:pPr>
            <w:r w:rsidRPr="00693888">
              <w:rPr>
                <w:b w:val="0"/>
                <w:bCs/>
                <w:sz w:val="18"/>
              </w:rPr>
              <w:t>Short-term credit</w:t>
            </w:r>
          </w:p>
        </w:tc>
        <w:tc>
          <w:tcPr>
            <w:tcW w:w="1030" w:type="pct"/>
            <w:vAlign w:val="bottom"/>
          </w:tcPr>
          <w:p w14:paraId="45FA0747" w14:textId="5D462A84"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11.5</w:t>
            </w:r>
          </w:p>
        </w:tc>
        <w:tc>
          <w:tcPr>
            <w:tcW w:w="549" w:type="pct"/>
            <w:vAlign w:val="bottom"/>
          </w:tcPr>
          <w:p w14:paraId="23F5F7A0" w14:textId="67DA0116"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8.2</w:t>
            </w:r>
          </w:p>
        </w:tc>
        <w:tc>
          <w:tcPr>
            <w:tcW w:w="688" w:type="pct"/>
            <w:vAlign w:val="bottom"/>
          </w:tcPr>
          <w:p w14:paraId="2E297DE2" w14:textId="3168A1DA"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5.4</w:t>
            </w:r>
          </w:p>
        </w:tc>
        <w:tc>
          <w:tcPr>
            <w:tcW w:w="687" w:type="pct"/>
            <w:vAlign w:val="bottom"/>
          </w:tcPr>
          <w:p w14:paraId="08CF08E4" w14:textId="16160183"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1.8</w:t>
            </w:r>
          </w:p>
        </w:tc>
        <w:tc>
          <w:tcPr>
            <w:tcW w:w="741" w:type="pct"/>
            <w:vAlign w:val="bottom"/>
          </w:tcPr>
          <w:p w14:paraId="0994D8BD" w14:textId="6544C5D8"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0.0</w:t>
            </w:r>
          </w:p>
        </w:tc>
      </w:tr>
      <w:tr w:rsidR="00693888" w:rsidRPr="00B256B7" w14:paraId="4E0E0D6F" w14:textId="77777777" w:rsidTr="00A70BBF">
        <w:tc>
          <w:tcPr>
            <w:cnfStyle w:val="001000000000" w:firstRow="0" w:lastRow="0" w:firstColumn="1" w:lastColumn="0" w:oddVBand="0" w:evenVBand="0" w:oddHBand="0" w:evenHBand="0" w:firstRowFirstColumn="0" w:firstRowLastColumn="0" w:lastRowFirstColumn="0" w:lastRowLastColumn="0"/>
            <w:tcW w:w="1305" w:type="pct"/>
          </w:tcPr>
          <w:p w14:paraId="2556687C" w14:textId="3F4B2762" w:rsidR="00693888" w:rsidRPr="00693888" w:rsidRDefault="00693888" w:rsidP="00693888">
            <w:pPr>
              <w:pStyle w:val="Tablecopy"/>
              <w:rPr>
                <w:b w:val="0"/>
                <w:bCs/>
                <w:sz w:val="18"/>
              </w:rPr>
            </w:pPr>
            <w:r w:rsidRPr="00693888">
              <w:rPr>
                <w:b w:val="0"/>
                <w:bCs/>
                <w:sz w:val="18"/>
              </w:rPr>
              <w:t xml:space="preserve">Cash </w:t>
            </w:r>
          </w:p>
        </w:tc>
        <w:tc>
          <w:tcPr>
            <w:tcW w:w="1030" w:type="pct"/>
            <w:vAlign w:val="bottom"/>
          </w:tcPr>
          <w:p w14:paraId="7EF315FD" w14:textId="1A66E5B5"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7.6</w:t>
            </w:r>
          </w:p>
        </w:tc>
        <w:tc>
          <w:tcPr>
            <w:tcW w:w="549" w:type="pct"/>
            <w:vAlign w:val="bottom"/>
          </w:tcPr>
          <w:p w14:paraId="4E9F8CE9" w14:textId="78871C5A"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7.2</w:t>
            </w:r>
          </w:p>
        </w:tc>
        <w:tc>
          <w:tcPr>
            <w:tcW w:w="688" w:type="pct"/>
            <w:vAlign w:val="bottom"/>
          </w:tcPr>
          <w:p w14:paraId="59EDA62D" w14:textId="7257B376"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4.4</w:t>
            </w:r>
          </w:p>
        </w:tc>
        <w:tc>
          <w:tcPr>
            <w:tcW w:w="687" w:type="pct"/>
            <w:vAlign w:val="bottom"/>
          </w:tcPr>
          <w:p w14:paraId="0D0CFCE5" w14:textId="298C9EFE"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3.7</w:t>
            </w:r>
          </w:p>
        </w:tc>
        <w:tc>
          <w:tcPr>
            <w:tcW w:w="741" w:type="pct"/>
            <w:vAlign w:val="bottom"/>
          </w:tcPr>
          <w:p w14:paraId="464E89EC" w14:textId="12BC4A1F" w:rsidR="00693888" w:rsidRPr="00693888" w:rsidRDefault="00693888" w:rsidP="00693888">
            <w:pPr>
              <w:pStyle w:val="Tablecopy"/>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18"/>
              </w:rPr>
            </w:pPr>
            <w:r w:rsidRPr="00693888">
              <w:rPr>
                <w:rFonts w:asciiTheme="majorHAnsi" w:hAnsiTheme="majorHAnsi" w:cstheme="majorHAnsi"/>
                <w:bCs/>
                <w:sz w:val="18"/>
              </w:rPr>
              <w:t>2.5</w:t>
            </w:r>
          </w:p>
        </w:tc>
      </w:tr>
    </w:tbl>
    <w:p w14:paraId="25D9C906" w14:textId="77777777" w:rsidR="00BB6B51" w:rsidRDefault="00BB6B51" w:rsidP="00BB6B51">
      <w:pPr>
        <w:pStyle w:val="Heading1"/>
      </w:pPr>
      <w:r>
        <w:t>Effective date</w:t>
      </w:r>
    </w:p>
    <w:p w14:paraId="2F01C4CC" w14:textId="3EC54367" w:rsidR="00BB6B51" w:rsidRDefault="00BB6B51" w:rsidP="00BB6B51">
      <w:pPr>
        <w:pStyle w:val="Bodycopy"/>
      </w:pPr>
      <w:r>
        <w:t xml:space="preserve">These changes were </w:t>
      </w:r>
      <w:r w:rsidRPr="00D04AB1">
        <w:t xml:space="preserve">completed during the </w:t>
      </w:r>
      <w:r w:rsidR="00346AF2" w:rsidRPr="00D04AB1">
        <w:t>first</w:t>
      </w:r>
      <w:r w:rsidRPr="00D04AB1">
        <w:t xml:space="preserve"> week of </w:t>
      </w:r>
      <w:r w:rsidR="00346AF2" w:rsidRPr="00D04AB1">
        <w:t>October</w:t>
      </w:r>
      <w:r w:rsidRPr="00D04AB1">
        <w:t xml:space="preserve"> 2024.</w:t>
      </w:r>
    </w:p>
    <w:p w14:paraId="5994B120" w14:textId="77777777" w:rsidR="00BB6B51" w:rsidRPr="00D5226D" w:rsidRDefault="00BB6B51" w:rsidP="00BB6B51">
      <w:pPr>
        <w:pStyle w:val="Heading1"/>
      </w:pPr>
      <w:r>
        <w:t xml:space="preserve">Looking </w:t>
      </w:r>
      <w:r w:rsidRPr="00D5226D">
        <w:t>ahead</w:t>
      </w:r>
    </w:p>
    <w:p w14:paraId="63F06028" w14:textId="55FB067A" w:rsidR="009F4076" w:rsidRPr="00D5226D" w:rsidRDefault="009F4076" w:rsidP="004500E5">
      <w:pPr>
        <w:pStyle w:val="Bodycopy"/>
      </w:pPr>
      <w:r w:rsidRPr="00D5226D">
        <w:t>Over the past 12 to 24 months, markets have faced significant challenges, driven largely by elevated inflation and major geopolitical events. Central banks responded by aggressively raising interest rates, which led to a substantial rise in market volatility. Despite these hurdles, the US economy has demonstrated remarkable resilience, with markets pricing in a ‘soft landing’ as inflationary pressures have eased and unemployment has remained low.</w:t>
      </w:r>
    </w:p>
    <w:p w14:paraId="7B3E8FA8" w14:textId="77777777" w:rsidR="004500E5" w:rsidRPr="00D5226D" w:rsidRDefault="004500E5" w:rsidP="004500E5">
      <w:pPr>
        <w:pStyle w:val="Bodycopy"/>
      </w:pPr>
      <w:r w:rsidRPr="00D5226D">
        <w:t>As inflation continues to decline and job market pressures ease, the primary driver of market volatility may shift from inflation to growth. While the US labour market remains a key watchpoint, there is a risk that weakening job conditions could impact consumer spending, leading to slower economic activity.</w:t>
      </w:r>
    </w:p>
    <w:p w14:paraId="3E4E646A" w14:textId="77777777" w:rsidR="00BB6B51" w:rsidRPr="00D5226D" w:rsidRDefault="00BB6B51" w:rsidP="00BB6B51">
      <w:pPr>
        <w:pStyle w:val="Bodycopy"/>
      </w:pPr>
      <w:r w:rsidRPr="00D5226D">
        <w:t>If equity markets continue to rally, we may continue to trim risk assets and increase defensive assets. Opportunities may also arise if markets react more negatively to potential recession outcomes.</w:t>
      </w:r>
    </w:p>
    <w:p w14:paraId="606F11B2" w14:textId="77777777" w:rsidR="00BB6B51" w:rsidRPr="00D5226D" w:rsidRDefault="00BB6B51" w:rsidP="00BB6B51">
      <w:pPr>
        <w:pStyle w:val="Bodycopy"/>
      </w:pPr>
      <w:r w:rsidRPr="00D5226D">
        <w:t>Moving forward, it’s important to remember that whilst we cannot control what markets do, we can control how we react to them. The Portfolios have been constructed to respond to changing market dynamics in real time, to effectively manage risk and to take advantage of market opportunities as they arise.</w:t>
      </w:r>
    </w:p>
    <w:p w14:paraId="0E8C798D" w14:textId="2006B5AE" w:rsidR="00BB6B51" w:rsidRDefault="00BB6B51" w:rsidP="00BB6B51">
      <w:pPr>
        <w:pStyle w:val="Bodycopy"/>
      </w:pPr>
      <w:r w:rsidRPr="00D5226D">
        <w:t>Moreover, we are committed to achieving long-term outperformance for investors and remain both patient and alert to any investment opportunities.</w:t>
      </w:r>
    </w:p>
    <w:p w14:paraId="65A673B7" w14:textId="77777777" w:rsidR="00BB6B51" w:rsidRDefault="00BB6B51">
      <w:pPr>
        <w:spacing w:after="0"/>
        <w:rPr>
          <w:rFonts w:asciiTheme="majorHAnsi" w:eastAsia="Calibri" w:hAnsiTheme="majorHAnsi" w:cs="Times New Roman"/>
          <w:caps/>
          <w:noProof/>
          <w:color w:val="auto"/>
          <w:spacing w:val="-4"/>
          <w:sz w:val="36"/>
          <w:szCs w:val="18"/>
        </w:rPr>
      </w:pPr>
      <w:bookmarkStart w:id="0" w:name="_Hlk86845230"/>
      <w:bookmarkStart w:id="1" w:name="_Hlk90280984"/>
      <w:bookmarkStart w:id="2" w:name="_Hlk92106589"/>
      <w:bookmarkStart w:id="3" w:name="_Hlk122960407"/>
      <w:r>
        <w:br w:type="page"/>
      </w:r>
    </w:p>
    <w:p w14:paraId="2D853725" w14:textId="00DE27B8" w:rsidR="00E213D5" w:rsidRPr="00AC68ED" w:rsidRDefault="00E11576" w:rsidP="00AC68ED">
      <w:pPr>
        <w:pStyle w:val="Questions"/>
      </w:pPr>
      <w:r w:rsidRPr="00AC68ED">
        <w:lastRenderedPageBreak/>
        <w:t>Questions?</w:t>
      </w:r>
    </w:p>
    <w:p w14:paraId="6AA164EC" w14:textId="7660334D" w:rsidR="00E213D5" w:rsidRPr="00AC68ED" w:rsidRDefault="00BB6B51" w:rsidP="00AC68ED">
      <w:pPr>
        <w:pStyle w:val="Calltoaction"/>
      </w:pPr>
      <w:bookmarkStart w:id="4" w:name="_Hlk86845863"/>
      <w:bookmarkStart w:id="5" w:name="_Hlk92105723"/>
      <w:r>
        <w:t>V</w:t>
      </w:r>
      <w:r w:rsidR="00E213D5" w:rsidRPr="00AC68ED">
        <w:t xml:space="preserve">isit </w:t>
      </w:r>
      <w:hyperlink r:id="rId11" w:history="1">
        <w:r w:rsidR="00E213D5" w:rsidRPr="001A15A6">
          <w:rPr>
            <w:rStyle w:val="CalltoactionURLCHAR"/>
          </w:rPr>
          <w:t>russellinvestments.com</w:t>
        </w:r>
      </w:hyperlink>
      <w:r>
        <w:rPr>
          <w:rStyle w:val="CalltoactionURLCHAR"/>
        </w:rPr>
        <w:t>.au</w:t>
      </w:r>
    </w:p>
    <w:bookmarkEnd w:id="0"/>
    <w:bookmarkEnd w:id="1"/>
    <w:bookmarkEnd w:id="2"/>
    <w:bookmarkEnd w:id="4"/>
    <w:bookmarkEnd w:id="5"/>
    <w:p w14:paraId="4CA9B3CF" w14:textId="77777777" w:rsidR="00291BA6" w:rsidRDefault="00291BA6" w:rsidP="00291BA6">
      <w:pPr>
        <w:pStyle w:val="AboutRussell"/>
      </w:pPr>
      <w:r>
        <w:t>About Russell Investments</w:t>
      </w:r>
    </w:p>
    <w:p w14:paraId="2563F2A1" w14:textId="6356DB44" w:rsidR="00291BA6" w:rsidRDefault="00142DC8" w:rsidP="00291BA6">
      <w:pPr>
        <w:pStyle w:val="Back-bodycopy"/>
      </w:pPr>
      <w:r w:rsidRPr="00142DC8">
        <w:t xml:space="preserve">Russell Investments is a leading global investment solutions partner providing a wide range of investment capabilities to institutional investors, financial intermediaries, and individual investors around the world. Since 1936, Russell Investments has been building a legacy of continuous innovation to deliver exceptional value to clients, working every day to improve people’s financial security. Headquartered in Seattle, Washington, Russell Investments has offices worldwide, including </w:t>
      </w:r>
      <w:r w:rsidR="005F5239" w:rsidRPr="005F5239">
        <w:t>Dubai, London, New York, Paris, Shanghai, Sydney, Tokyo, and Toronto</w:t>
      </w:r>
      <w:r w:rsidRPr="00142DC8">
        <w:t>.</w:t>
      </w:r>
    </w:p>
    <w:p w14:paraId="065FC995" w14:textId="77777777" w:rsidR="004A014D" w:rsidRDefault="004A014D" w:rsidP="00291BA6">
      <w:pPr>
        <w:pStyle w:val="Back-bodycopy"/>
      </w:pPr>
    </w:p>
    <w:p w14:paraId="23C50A5C" w14:textId="77777777" w:rsidR="005F5239" w:rsidRDefault="005F5239" w:rsidP="00291BA6">
      <w:pPr>
        <w:pStyle w:val="Back-bodycopy"/>
      </w:pPr>
    </w:p>
    <w:p w14:paraId="592B2BDC" w14:textId="77777777" w:rsidR="004A014D" w:rsidRDefault="004A014D" w:rsidP="00291BA6">
      <w:pPr>
        <w:pStyle w:val="Back-bodycopy"/>
      </w:pPr>
    </w:p>
    <w:p w14:paraId="683E78DA" w14:textId="77777777" w:rsidR="004A014D" w:rsidRDefault="004A014D" w:rsidP="00291BA6">
      <w:pPr>
        <w:pStyle w:val="Back-bodycopy"/>
      </w:pPr>
    </w:p>
    <w:p w14:paraId="3FAF2C8B" w14:textId="77777777" w:rsidR="004A014D" w:rsidRDefault="004A014D" w:rsidP="00291BA6">
      <w:pPr>
        <w:pStyle w:val="Back-bodycopy"/>
      </w:pPr>
    </w:p>
    <w:p w14:paraId="3E4CB92C" w14:textId="77777777" w:rsidR="004A014D" w:rsidRDefault="004A014D" w:rsidP="00291BA6">
      <w:pPr>
        <w:pStyle w:val="Back-bodycopy"/>
      </w:pPr>
    </w:p>
    <w:p w14:paraId="20689D4F" w14:textId="77777777" w:rsidR="004A014D" w:rsidRDefault="004A014D" w:rsidP="00291BA6">
      <w:pPr>
        <w:pStyle w:val="Back-bodycopy"/>
      </w:pPr>
    </w:p>
    <w:p w14:paraId="6867AEBF" w14:textId="77777777" w:rsidR="004A014D" w:rsidRDefault="004A014D" w:rsidP="00291BA6">
      <w:pPr>
        <w:pStyle w:val="Back-bodycopy"/>
      </w:pPr>
    </w:p>
    <w:p w14:paraId="6CA7C76D" w14:textId="77777777" w:rsidR="002F776E" w:rsidRDefault="002F776E" w:rsidP="00D80C9D">
      <w:pPr>
        <w:pStyle w:val="Back-disclosures"/>
      </w:pPr>
    </w:p>
    <w:p w14:paraId="7B9A8BF7" w14:textId="77777777" w:rsidR="004A014D" w:rsidRDefault="004A014D" w:rsidP="00291BA6">
      <w:pPr>
        <w:pStyle w:val="Back-bodycopy"/>
      </w:pPr>
    </w:p>
    <w:p w14:paraId="72F88E2B" w14:textId="77777777" w:rsidR="004A014D" w:rsidRDefault="004A014D" w:rsidP="00291BA6">
      <w:pPr>
        <w:pStyle w:val="Back-bodycopy"/>
      </w:pPr>
    </w:p>
    <w:p w14:paraId="4473092C" w14:textId="77777777" w:rsidR="004A014D" w:rsidRDefault="004A014D" w:rsidP="00291BA6">
      <w:pPr>
        <w:pStyle w:val="Back-bodycopy"/>
      </w:pPr>
    </w:p>
    <w:p w14:paraId="0C33B913" w14:textId="77777777" w:rsidR="004A014D" w:rsidRDefault="004A014D" w:rsidP="00291BA6">
      <w:pPr>
        <w:pStyle w:val="Back-bodycopy"/>
      </w:pPr>
    </w:p>
    <w:p w14:paraId="374FCA72" w14:textId="77777777" w:rsidR="004A014D" w:rsidRDefault="004A014D" w:rsidP="00291BA6">
      <w:pPr>
        <w:pStyle w:val="Back-bodycopy"/>
      </w:pPr>
    </w:p>
    <w:p w14:paraId="0B164844" w14:textId="77777777" w:rsidR="004A014D" w:rsidRDefault="004A014D" w:rsidP="00291BA6">
      <w:pPr>
        <w:pStyle w:val="Back-bodycopy"/>
      </w:pPr>
    </w:p>
    <w:p w14:paraId="70DF0BCD" w14:textId="77777777" w:rsidR="004A014D" w:rsidRDefault="004A014D" w:rsidP="00291BA6">
      <w:pPr>
        <w:pStyle w:val="Back-bodycopy"/>
      </w:pPr>
    </w:p>
    <w:p w14:paraId="37D4B308" w14:textId="77777777" w:rsidR="002F776E" w:rsidRDefault="002F776E" w:rsidP="00291BA6">
      <w:pPr>
        <w:pStyle w:val="Back-bodycopy"/>
      </w:pPr>
    </w:p>
    <w:p w14:paraId="75E5019C" w14:textId="77777777" w:rsidR="002F776E" w:rsidRDefault="002F776E" w:rsidP="00291BA6">
      <w:pPr>
        <w:pStyle w:val="Back-bodycopy"/>
      </w:pPr>
    </w:p>
    <w:p w14:paraId="6D7BB75A" w14:textId="77777777" w:rsidR="002F776E" w:rsidRDefault="002F776E" w:rsidP="00291BA6">
      <w:pPr>
        <w:pStyle w:val="Back-bodycopy"/>
      </w:pPr>
    </w:p>
    <w:p w14:paraId="3E35F74C" w14:textId="77777777" w:rsidR="002F776E" w:rsidRDefault="002F776E" w:rsidP="00291BA6">
      <w:pPr>
        <w:pStyle w:val="Back-bodycopy"/>
      </w:pPr>
    </w:p>
    <w:p w14:paraId="375D0556" w14:textId="77777777" w:rsidR="002F776E" w:rsidRDefault="002F776E" w:rsidP="00291BA6">
      <w:pPr>
        <w:pStyle w:val="Back-bodycopy"/>
      </w:pPr>
    </w:p>
    <w:p w14:paraId="06A28F35" w14:textId="77777777" w:rsidR="002F776E" w:rsidRDefault="002F776E" w:rsidP="00291BA6">
      <w:pPr>
        <w:pStyle w:val="Back-bodycopy"/>
      </w:pPr>
    </w:p>
    <w:p w14:paraId="255CAB5D" w14:textId="77777777" w:rsidR="00D80C9D" w:rsidRDefault="00D80C9D" w:rsidP="00291BA6">
      <w:pPr>
        <w:pStyle w:val="Back-bodycopy"/>
      </w:pPr>
    </w:p>
    <w:p w14:paraId="2889334D" w14:textId="77777777" w:rsidR="00BB6B51" w:rsidRDefault="00BB6B51" w:rsidP="00291BA6">
      <w:pPr>
        <w:pStyle w:val="Back-bodycopy"/>
      </w:pPr>
    </w:p>
    <w:p w14:paraId="6F26D0B8" w14:textId="77777777" w:rsidR="00D80C9D" w:rsidRDefault="00D80C9D" w:rsidP="00291BA6">
      <w:pPr>
        <w:pStyle w:val="Back-bodycopy"/>
      </w:pPr>
    </w:p>
    <w:p w14:paraId="385CF5D0" w14:textId="77777777" w:rsidR="00BB6B51" w:rsidRDefault="00BB6B51" w:rsidP="00291BA6">
      <w:pPr>
        <w:pStyle w:val="Back-bodycopy"/>
      </w:pPr>
    </w:p>
    <w:p w14:paraId="2BCD1C19" w14:textId="77777777" w:rsidR="00BB6B51" w:rsidRDefault="00BB6B51" w:rsidP="00291BA6">
      <w:pPr>
        <w:pStyle w:val="Back-bodycopy"/>
      </w:pPr>
    </w:p>
    <w:p w14:paraId="18E0CD0D" w14:textId="77777777" w:rsidR="00BB6B51" w:rsidRDefault="00BB6B51" w:rsidP="00D80C9D">
      <w:pPr>
        <w:pStyle w:val="ImportantInformation"/>
      </w:pPr>
    </w:p>
    <w:p w14:paraId="123792EC" w14:textId="77777777" w:rsidR="00BB6B51" w:rsidRDefault="00BB6B51" w:rsidP="00D80C9D">
      <w:pPr>
        <w:pStyle w:val="ImportantInformation"/>
      </w:pPr>
    </w:p>
    <w:p w14:paraId="6196829E" w14:textId="77777777" w:rsidR="00BB6B51" w:rsidRDefault="00BB6B51" w:rsidP="00D80C9D">
      <w:pPr>
        <w:pStyle w:val="ImportantInformation"/>
      </w:pPr>
    </w:p>
    <w:p w14:paraId="3F221D0D" w14:textId="1351743B" w:rsidR="00D80C9D" w:rsidRDefault="00BB6B51" w:rsidP="00D80C9D">
      <w:pPr>
        <w:pStyle w:val="ImportantInformation"/>
      </w:pPr>
      <w:r>
        <w:t>important information</w:t>
      </w:r>
    </w:p>
    <w:bookmarkEnd w:id="3"/>
    <w:p w14:paraId="76E66A6F" w14:textId="77777777" w:rsidR="00BB6B51" w:rsidRDefault="00BB6B51" w:rsidP="00BB6B51">
      <w:pPr>
        <w:pStyle w:val="Back-disclosures"/>
      </w:pPr>
      <w:r>
        <w:t xml:space="preserve">Issued by Russell Investment Management Ltd ABN 53 068 338 974, AFSL 247185 (RIM). This document contains factual information only about the Russell Investments Managed Portfolios. The information is not intended to imply any recommendation or opinion about a financial product. RIM is not providing financial product advice and you should consider obtaining independent advice before making any financial decisions. This information has been compiled from sources considered to be reliable but is not guaranteed.  </w:t>
      </w:r>
    </w:p>
    <w:p w14:paraId="008E2E92" w14:textId="77777777" w:rsidR="00BB6B51" w:rsidRDefault="00BB6B51" w:rsidP="00BB6B51">
      <w:pPr>
        <w:pStyle w:val="Back-disclosures"/>
      </w:pPr>
      <w:r>
        <w:t xml:space="preserve">RIM is part of Russell Investments. RIM is the issuer of the Russell Investments Funds and Russell Investments ETFs mentioned in this document. Russell Investments or its associates, officers or employees may have interests in the financial products referred to in this information by acting in various roles including broker or adviser, and may receive fees, brokerage or commissions for acting in these capacities. In addition, Russell Investments or its associates, officers or employees may buy or sell the financial products as principal or agent. </w:t>
      </w:r>
    </w:p>
    <w:p w14:paraId="699D4F75" w14:textId="77777777" w:rsidR="00BB6B51" w:rsidRDefault="00BB6B51" w:rsidP="00BB6B51">
      <w:pPr>
        <w:pStyle w:val="Back-disclosures"/>
      </w:pPr>
      <w:r>
        <w:t>To the extent permitted by law, no liability is accepted for any loss or damage as a result of reliance on this information.</w:t>
      </w:r>
    </w:p>
    <w:p w14:paraId="52FE3317" w14:textId="77777777" w:rsidR="00BB6B51" w:rsidRDefault="00BB6B51" w:rsidP="00BB6B51">
      <w:pPr>
        <w:pStyle w:val="Back-disclosures"/>
      </w:pPr>
      <w:r>
        <w:t xml:space="preserve">This material does not constitute professional advice or opinion and is not intended to be used as the basis for making an investment decision. </w:t>
      </w:r>
    </w:p>
    <w:p w14:paraId="08BC77B3" w14:textId="40E9C359" w:rsidR="002F776E" w:rsidRDefault="00BB6B51" w:rsidP="00BB6B51">
      <w:pPr>
        <w:pStyle w:val="Back-disclosures"/>
      </w:pPr>
      <w:r>
        <w:t>This work is copyright 2024. Apart from any use permitted under the Copyright Act 1968, no part may be reproduced by any process, nor may any other exclusive right be exercised, without the permission of Russell Investment Management L</w:t>
      </w:r>
      <w:r w:rsidR="003F520A">
        <w:t>td.</w:t>
      </w:r>
    </w:p>
    <w:sectPr w:rsidR="002F776E" w:rsidSect="002F776E">
      <w:headerReference w:type="default" r:id="rId12"/>
      <w:footerReference w:type="default" r:id="rId13"/>
      <w:headerReference w:type="first" r:id="rId14"/>
      <w:footerReference w:type="first" r:id="rId15"/>
      <w:type w:val="continuous"/>
      <w:pgSz w:w="11906" w:h="16838" w:code="9"/>
      <w:pgMar w:top="992" w:right="794" w:bottom="1440" w:left="794"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B34DD" w14:textId="77777777" w:rsidR="009C2508" w:rsidRPr="00C458F0" w:rsidRDefault="009C2508">
      <w:pPr>
        <w:spacing w:after="0"/>
        <w:rPr>
          <w:color w:val="005596" w:themeColor="accent4"/>
        </w:rPr>
      </w:pPr>
      <w:r w:rsidRPr="00C458F0">
        <w:rPr>
          <w:color w:val="005596" w:themeColor="accent4"/>
        </w:rPr>
        <w:separator/>
      </w:r>
    </w:p>
  </w:endnote>
  <w:endnote w:type="continuationSeparator" w:id="0">
    <w:p w14:paraId="1BEBEFD7" w14:textId="77777777" w:rsidR="009C2508" w:rsidRPr="00C458F0" w:rsidRDefault="009C2508">
      <w:pPr>
        <w:spacing w:after="0"/>
        <w:rPr>
          <w:color w:val="005596" w:themeColor="accent4"/>
        </w:rPr>
      </w:pPr>
      <w:r w:rsidRPr="00C458F0">
        <w:rPr>
          <w:color w:val="005596" w:themeColor="accent4"/>
        </w:rPr>
        <w:continuationSeparator/>
      </w:r>
    </w:p>
  </w:endnote>
  <w:endnote w:type="continuationNotice" w:id="1">
    <w:p w14:paraId="12082BCE" w14:textId="77777777" w:rsidR="009C2508" w:rsidRPr="00C458F0" w:rsidRDefault="009C2508">
      <w:pPr>
        <w:spacing w:after="0"/>
        <w:rPr>
          <w:color w:val="005596" w:themeColor="accent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8AC8A" w14:textId="57CF816C" w:rsidR="002F776E" w:rsidRPr="002F776E" w:rsidRDefault="002F776E" w:rsidP="002F776E">
    <w:pPr>
      <w:pStyle w:val="Footer"/>
      <w:tabs>
        <w:tab w:val="clear" w:pos="10620"/>
        <w:tab w:val="right" w:pos="10348"/>
      </w:tabs>
      <w:ind w:right="-32"/>
    </w:pPr>
    <w:r>
      <w:rPr>
        <w:b/>
      </w:rPr>
      <w:t>Russell Investments</w:t>
    </w:r>
    <w:r>
      <w:t xml:space="preserve"> / </w:t>
    </w:r>
    <w:r w:rsidR="00BB6B51">
      <w:t>Sustainable managed portfolios</w:t>
    </w:r>
    <w:r w:rsidR="00846135">
      <w:t xml:space="preserve"> – portfolio changes</w:t>
    </w:r>
    <w:r>
      <w:tab/>
    </w:r>
    <w:r w:rsidR="00BB6B51">
      <w:t xml:space="preserve">FOR FINANCIAL PROFESSIONAL USE ONLY </w:t>
    </w:r>
    <w:r>
      <w:t xml:space="preserve">/ </w:t>
    </w:r>
    <w:r>
      <w:rPr>
        <w:noProof/>
      </w:rPr>
      <w:fldChar w:fldCharType="begin"/>
    </w:r>
    <w:r>
      <w:rPr>
        <w:noProof/>
      </w:rPr>
      <w:instrText xml:space="preserve"> PAGE   \* MERGEFORMAT </w:instrText>
    </w:r>
    <w:r>
      <w:rPr>
        <w:noProof/>
      </w:rP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771E" w14:textId="77777777" w:rsidR="002327B5" w:rsidRDefault="002327B5">
    <w:pPr>
      <w:pStyle w:val="Footer"/>
    </w:pPr>
    <w:r>
      <w:rPr>
        <w:noProof/>
      </w:rPr>
      <w:drawing>
        <wp:anchor distT="0" distB="0" distL="114300" distR="114300" simplePos="0" relativeHeight="251662336" behindDoc="0" locked="1" layoutInCell="1" allowOverlap="1" wp14:anchorId="3A52230E" wp14:editId="7C17B11D">
          <wp:simplePos x="0" y="0"/>
          <wp:positionH relativeFrom="page">
            <wp:posOffset>0</wp:posOffset>
          </wp:positionH>
          <wp:positionV relativeFrom="bottomMargin">
            <wp:posOffset>217170</wp:posOffset>
          </wp:positionV>
          <wp:extent cx="7561580" cy="913765"/>
          <wp:effectExtent l="0" t="0" r="127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1580" cy="913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EEBB3" w14:textId="77777777" w:rsidR="009C2508" w:rsidRPr="00C458F0" w:rsidRDefault="009C2508">
      <w:pPr>
        <w:spacing w:after="0"/>
        <w:rPr>
          <w:color w:val="005596" w:themeColor="accent4"/>
        </w:rPr>
      </w:pPr>
      <w:r w:rsidRPr="00C458F0">
        <w:rPr>
          <w:color w:val="005596" w:themeColor="accent4"/>
        </w:rPr>
        <w:separator/>
      </w:r>
    </w:p>
  </w:footnote>
  <w:footnote w:type="continuationSeparator" w:id="0">
    <w:p w14:paraId="0C1A1C9F" w14:textId="77777777" w:rsidR="009C2508" w:rsidRPr="00C458F0" w:rsidRDefault="009C2508">
      <w:pPr>
        <w:spacing w:after="0"/>
        <w:rPr>
          <w:color w:val="005596" w:themeColor="accent4"/>
        </w:rPr>
      </w:pPr>
      <w:r w:rsidRPr="00C458F0">
        <w:rPr>
          <w:color w:val="005596" w:themeColor="accent4"/>
        </w:rPr>
        <w:continuationSeparator/>
      </w:r>
    </w:p>
  </w:footnote>
  <w:footnote w:type="continuationNotice" w:id="1">
    <w:p w14:paraId="11489D8A" w14:textId="77777777" w:rsidR="009C2508" w:rsidRPr="00C458F0" w:rsidRDefault="009C2508">
      <w:pPr>
        <w:spacing w:after="0"/>
        <w:rPr>
          <w:color w:val="005596" w:themeColor="accent4"/>
        </w:rPr>
      </w:pPr>
    </w:p>
  </w:footnote>
  <w:footnote w:id="2">
    <w:p w14:paraId="2BC090FF" w14:textId="4C4076A7" w:rsidR="00827E28" w:rsidRPr="001322BA" w:rsidRDefault="00827E28">
      <w:pPr>
        <w:pStyle w:val="FootnoteText"/>
        <w:rPr>
          <w:sz w:val="16"/>
          <w:szCs w:val="22"/>
          <w:lang w:val="en-AU"/>
        </w:rPr>
      </w:pPr>
      <w:r w:rsidRPr="001322BA">
        <w:rPr>
          <w:rStyle w:val="FootnoteReference"/>
          <w:sz w:val="16"/>
          <w:szCs w:val="22"/>
        </w:rPr>
        <w:footnoteRef/>
      </w:r>
      <w:r w:rsidRPr="001322BA">
        <w:rPr>
          <w:sz w:val="16"/>
          <w:szCs w:val="22"/>
        </w:rPr>
        <w:t xml:space="preserve"> Asset class breakdown is based on the model and may vary slightly depending on the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1317A" w14:textId="77777777" w:rsidR="002F776E" w:rsidRDefault="002F776E" w:rsidP="002F776E">
    <w:pPr>
      <w:pStyle w:val="Header"/>
      <w:ind w:right="-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BABD" w14:textId="77777777" w:rsidR="002327B5" w:rsidRDefault="002327B5" w:rsidP="002327B5">
    <w:pPr>
      <w:pStyle w:val="Header"/>
      <w:pBdr>
        <w:top w:val="none" w:sz="0" w:space="0" w:color="auto"/>
      </w:pBdr>
    </w:pPr>
    <w:r>
      <w:rPr>
        <w:noProof/>
        <w:sz w:val="8"/>
      </w:rPr>
      <w:drawing>
        <wp:anchor distT="0" distB="0" distL="114300" distR="114300" simplePos="0" relativeHeight="251659264" behindDoc="1" locked="1" layoutInCell="1" allowOverlap="1" wp14:anchorId="50771FEF" wp14:editId="0510F4B6">
          <wp:simplePos x="0" y="0"/>
          <wp:positionH relativeFrom="page">
            <wp:posOffset>-12700</wp:posOffset>
          </wp:positionH>
          <wp:positionV relativeFrom="page">
            <wp:posOffset>1758315</wp:posOffset>
          </wp:positionV>
          <wp:extent cx="7772400" cy="1206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t="15876" b="15876"/>
                  <a:stretch>
                    <a:fillRect/>
                  </a:stretch>
                </pic:blipFill>
                <pic:spPr bwMode="auto">
                  <a:xfrm>
                    <a:off x="0" y="0"/>
                    <a:ext cx="7772400" cy="12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1" allowOverlap="1" wp14:anchorId="76889845" wp14:editId="71468B12">
          <wp:simplePos x="0" y="0"/>
          <wp:positionH relativeFrom="page">
            <wp:posOffset>4740910</wp:posOffset>
          </wp:positionH>
          <wp:positionV relativeFrom="page">
            <wp:posOffset>608330</wp:posOffset>
          </wp:positionV>
          <wp:extent cx="1920240" cy="438785"/>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920240" cy="438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FFA3C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2AF5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F82B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9B8F2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8633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68E4E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80C9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CA18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62E2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2A2A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860FA"/>
    <w:multiLevelType w:val="hybridMultilevel"/>
    <w:tmpl w:val="3426E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FA20D6"/>
    <w:multiLevelType w:val="hybridMultilevel"/>
    <w:tmpl w:val="9B5A5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3E41FF"/>
    <w:multiLevelType w:val="multilevel"/>
    <w:tmpl w:val="1FDE0F3E"/>
    <w:numStyleLink w:val="Alphanumericlist"/>
  </w:abstractNum>
  <w:abstractNum w:abstractNumId="13" w15:restartNumberingAfterBreak="0">
    <w:nsid w:val="067B3E12"/>
    <w:multiLevelType w:val="multilevel"/>
    <w:tmpl w:val="0409001F"/>
    <w:numStyleLink w:val="Decimaloutline"/>
  </w:abstractNum>
  <w:abstractNum w:abstractNumId="14" w15:restartNumberingAfterBreak="0">
    <w:nsid w:val="0BE2061D"/>
    <w:multiLevelType w:val="multilevel"/>
    <w:tmpl w:val="1FDE0F3E"/>
    <w:numStyleLink w:val="Alphanumericlist"/>
  </w:abstractNum>
  <w:abstractNum w:abstractNumId="15" w15:restartNumberingAfterBreak="0">
    <w:nsid w:val="0EC83C8B"/>
    <w:multiLevelType w:val="multilevel"/>
    <w:tmpl w:val="66F67258"/>
    <w:numStyleLink w:val="ResearchTemplatenumericlist"/>
  </w:abstractNum>
  <w:abstractNum w:abstractNumId="16" w15:restartNumberingAfterBreak="0">
    <w:nsid w:val="12C94FA5"/>
    <w:multiLevelType w:val="multilevel"/>
    <w:tmpl w:val="0409001F"/>
    <w:styleLink w:val="Decimaloutlin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8105D6E"/>
    <w:multiLevelType w:val="multilevel"/>
    <w:tmpl w:val="1FDE0F3E"/>
    <w:numStyleLink w:val="Alphanumericlist"/>
  </w:abstractNum>
  <w:abstractNum w:abstractNumId="18" w15:restartNumberingAfterBreak="0">
    <w:nsid w:val="18250A1B"/>
    <w:multiLevelType w:val="multilevel"/>
    <w:tmpl w:val="88F6AD52"/>
    <w:styleLink w:val="Bulletsymbols"/>
    <w:lvl w:ilvl="0">
      <w:start w:val="1"/>
      <w:numFmt w:val="bullet"/>
      <w:lvlText w:val=""/>
      <w:lvlJc w:val="left"/>
      <w:pPr>
        <w:ind w:left="360" w:hanging="360"/>
      </w:pPr>
      <w:rPr>
        <w:rFonts w:ascii="Symbol" w:hAnsi="Symbol"/>
        <w:color w:val="005596" w:themeColor="accent4"/>
        <w:position w:val="2"/>
        <w:sz w:val="18"/>
      </w:rPr>
    </w:lvl>
    <w:lvl w:ilvl="1">
      <w:start w:val="1"/>
      <w:numFmt w:val="bullet"/>
      <w:lvlText w:val=""/>
      <w:lvlJc w:val="left"/>
      <w:pPr>
        <w:ind w:left="720" w:hanging="360"/>
      </w:pPr>
      <w:rPr>
        <w:rFonts w:ascii="Symbol" w:hAnsi="Symbol"/>
        <w:color w:val="005596" w:themeColor="accent4"/>
        <w:position w:val="2"/>
        <w:sz w:val="18"/>
      </w:rPr>
    </w:lvl>
    <w:lvl w:ilvl="2">
      <w:start w:val="1"/>
      <w:numFmt w:val="bullet"/>
      <w:lvlText w:val=""/>
      <w:lvlJc w:val="left"/>
      <w:pPr>
        <w:ind w:left="1080" w:hanging="360"/>
      </w:pPr>
      <w:rPr>
        <w:rFonts w:ascii="Symbol" w:hAnsi="Symbol"/>
        <w:color w:val="005596" w:themeColor="accent4"/>
        <w:position w:val="2"/>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A403594"/>
    <w:multiLevelType w:val="multilevel"/>
    <w:tmpl w:val="1FDE0F3E"/>
    <w:numStyleLink w:val="Alphanumericlist"/>
  </w:abstractNum>
  <w:abstractNum w:abstractNumId="20" w15:restartNumberingAfterBreak="0">
    <w:nsid w:val="1BDB6135"/>
    <w:multiLevelType w:val="multilevel"/>
    <w:tmpl w:val="1FDE0F3E"/>
    <w:numStyleLink w:val="Alphanumericlist"/>
  </w:abstractNum>
  <w:abstractNum w:abstractNumId="21" w15:restartNumberingAfterBreak="0">
    <w:nsid w:val="25254776"/>
    <w:multiLevelType w:val="multilevel"/>
    <w:tmpl w:val="88F6AD52"/>
    <w:numStyleLink w:val="Bulletsymbols"/>
  </w:abstractNum>
  <w:abstractNum w:abstractNumId="22" w15:restartNumberingAfterBreak="0">
    <w:nsid w:val="33DE08FA"/>
    <w:multiLevelType w:val="multilevel"/>
    <w:tmpl w:val="0409001F"/>
    <w:numStyleLink w:val="Decimaloutline"/>
  </w:abstractNum>
  <w:abstractNum w:abstractNumId="23" w15:restartNumberingAfterBreak="0">
    <w:nsid w:val="33EA4F3F"/>
    <w:multiLevelType w:val="multilevel"/>
    <w:tmpl w:val="88F6AD52"/>
    <w:numStyleLink w:val="Bulletsymbols"/>
  </w:abstractNum>
  <w:abstractNum w:abstractNumId="24" w15:restartNumberingAfterBreak="0">
    <w:nsid w:val="3681398B"/>
    <w:multiLevelType w:val="multilevel"/>
    <w:tmpl w:val="88F6AD52"/>
    <w:numStyleLink w:val="Bulletsymbols"/>
  </w:abstractNum>
  <w:abstractNum w:abstractNumId="25" w15:restartNumberingAfterBreak="0">
    <w:nsid w:val="3950728D"/>
    <w:multiLevelType w:val="multilevel"/>
    <w:tmpl w:val="88F6AD52"/>
    <w:numStyleLink w:val="Bulletsymbols"/>
  </w:abstractNum>
  <w:abstractNum w:abstractNumId="26" w15:restartNumberingAfterBreak="0">
    <w:nsid w:val="39BA562D"/>
    <w:multiLevelType w:val="multilevel"/>
    <w:tmpl w:val="0409001F"/>
    <w:numStyleLink w:val="Decimaloutline"/>
  </w:abstractNum>
  <w:abstractNum w:abstractNumId="27" w15:restartNumberingAfterBreak="0">
    <w:nsid w:val="3FBA03C7"/>
    <w:multiLevelType w:val="multilevel"/>
    <w:tmpl w:val="88F6AD52"/>
    <w:numStyleLink w:val="Bulletsymbols"/>
  </w:abstractNum>
  <w:abstractNum w:abstractNumId="28" w15:restartNumberingAfterBreak="0">
    <w:nsid w:val="42B25F21"/>
    <w:multiLevelType w:val="multilevel"/>
    <w:tmpl w:val="1FDE0F3E"/>
    <w:numStyleLink w:val="Alphanumericlist"/>
  </w:abstractNum>
  <w:abstractNum w:abstractNumId="29" w15:restartNumberingAfterBreak="0">
    <w:nsid w:val="433D427C"/>
    <w:multiLevelType w:val="multilevel"/>
    <w:tmpl w:val="66F67258"/>
    <w:styleLink w:val="ResearchTemplatenumericlist"/>
    <w:lvl w:ilvl="0">
      <w:start w:val="1"/>
      <w:numFmt w:val="decimal"/>
      <w:lvlText w:val="%1."/>
      <w:lvlJc w:val="left"/>
      <w:pPr>
        <w:ind w:left="360" w:hanging="360"/>
      </w:pPr>
      <w:rPr>
        <w:rFonts w:hint="default"/>
        <w:color w:val="51799C"/>
      </w:rPr>
    </w:lvl>
    <w:lvl w:ilvl="1">
      <w:start w:val="1"/>
      <w:numFmt w:val="lowerLetter"/>
      <w:lvlText w:val="%2."/>
      <w:lvlJc w:val="left"/>
      <w:pPr>
        <w:ind w:left="720" w:hanging="360"/>
      </w:pPr>
      <w:rPr>
        <w:rFonts w:hint="default"/>
        <w:color w:val="51799C"/>
      </w:rPr>
    </w:lvl>
    <w:lvl w:ilvl="2">
      <w:start w:val="1"/>
      <w:numFmt w:val="lowerRoman"/>
      <w:lvlText w:val="%3."/>
      <w:lvlJc w:val="left"/>
      <w:pPr>
        <w:ind w:left="1080" w:hanging="360"/>
      </w:pPr>
      <w:rPr>
        <w:rFonts w:hint="default"/>
        <w:color w:val="51799C"/>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F13561"/>
    <w:multiLevelType w:val="multilevel"/>
    <w:tmpl w:val="88F6AD52"/>
    <w:numStyleLink w:val="Bulletsymbols"/>
  </w:abstractNum>
  <w:abstractNum w:abstractNumId="31" w15:restartNumberingAfterBreak="0">
    <w:nsid w:val="47C644D2"/>
    <w:multiLevelType w:val="hybridMultilevel"/>
    <w:tmpl w:val="012648BA"/>
    <w:lvl w:ilvl="0" w:tplc="D76255E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0E0094"/>
    <w:multiLevelType w:val="multilevel"/>
    <w:tmpl w:val="1FDE0F3E"/>
    <w:styleLink w:val="Alphanumericlist"/>
    <w:lvl w:ilvl="0">
      <w:start w:val="1"/>
      <w:numFmt w:val="decimal"/>
      <w:lvlText w:val="%1."/>
      <w:lvlJc w:val="left"/>
      <w:pPr>
        <w:ind w:left="360" w:hanging="360"/>
      </w:pPr>
      <w:rPr>
        <w:rFonts w:hint="default"/>
        <w:b/>
        <w:i w:val="0"/>
        <w:color w:val="005596" w:themeColor="accent4"/>
      </w:rPr>
    </w:lvl>
    <w:lvl w:ilvl="1">
      <w:start w:val="1"/>
      <w:numFmt w:val="lowerLetter"/>
      <w:lvlText w:val="%2."/>
      <w:lvlJc w:val="left"/>
      <w:pPr>
        <w:ind w:left="720" w:hanging="360"/>
      </w:pPr>
      <w:rPr>
        <w:rFonts w:hint="default"/>
        <w:b/>
        <w:color w:val="005596" w:themeColor="accent4"/>
      </w:rPr>
    </w:lvl>
    <w:lvl w:ilvl="2">
      <w:start w:val="1"/>
      <w:numFmt w:val="lowerRoman"/>
      <w:lvlText w:val="%3."/>
      <w:lvlJc w:val="left"/>
      <w:pPr>
        <w:ind w:left="1080" w:hanging="360"/>
      </w:pPr>
      <w:rPr>
        <w:rFonts w:hint="default"/>
        <w:b/>
        <w:color w:val="005596" w:themeColor="accent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E6471F"/>
    <w:multiLevelType w:val="multilevel"/>
    <w:tmpl w:val="88F6AD52"/>
    <w:numStyleLink w:val="Bulletsymbols"/>
  </w:abstractNum>
  <w:abstractNum w:abstractNumId="34" w15:restartNumberingAfterBreak="0">
    <w:nsid w:val="51240F17"/>
    <w:multiLevelType w:val="multilevel"/>
    <w:tmpl w:val="1FDE0F3E"/>
    <w:numStyleLink w:val="Alphanumericlist"/>
  </w:abstractNum>
  <w:abstractNum w:abstractNumId="35" w15:restartNumberingAfterBreak="0">
    <w:nsid w:val="67D23BB3"/>
    <w:multiLevelType w:val="multilevel"/>
    <w:tmpl w:val="1FDE0F3E"/>
    <w:numStyleLink w:val="Alphanumericlist"/>
  </w:abstractNum>
  <w:abstractNum w:abstractNumId="36" w15:restartNumberingAfterBreak="0">
    <w:nsid w:val="70CC0185"/>
    <w:multiLevelType w:val="multilevel"/>
    <w:tmpl w:val="1FDE0F3E"/>
    <w:numStyleLink w:val="Alphanumericlist"/>
  </w:abstractNum>
  <w:abstractNum w:abstractNumId="37" w15:restartNumberingAfterBreak="0">
    <w:nsid w:val="79C95415"/>
    <w:multiLevelType w:val="multilevel"/>
    <w:tmpl w:val="88F6AD52"/>
    <w:numStyleLink w:val="Bulletsymbols"/>
  </w:abstractNum>
  <w:abstractNum w:abstractNumId="38" w15:restartNumberingAfterBreak="0">
    <w:nsid w:val="7A5C6E02"/>
    <w:multiLevelType w:val="multilevel"/>
    <w:tmpl w:val="88F6AD52"/>
    <w:numStyleLink w:val="Bulletsymbols"/>
  </w:abstractNum>
  <w:abstractNum w:abstractNumId="39" w15:restartNumberingAfterBreak="0">
    <w:nsid w:val="7CD67895"/>
    <w:multiLevelType w:val="multilevel"/>
    <w:tmpl w:val="88F6AD52"/>
    <w:numStyleLink w:val="Bulletsymbols"/>
  </w:abstractNum>
  <w:abstractNum w:abstractNumId="40" w15:restartNumberingAfterBreak="0">
    <w:nsid w:val="7FA93BEF"/>
    <w:multiLevelType w:val="multilevel"/>
    <w:tmpl w:val="FAF8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9620238">
    <w:abstractNumId w:val="9"/>
  </w:num>
  <w:num w:numId="2" w16cid:durableId="986979458">
    <w:abstractNumId w:val="7"/>
  </w:num>
  <w:num w:numId="3" w16cid:durableId="117071734">
    <w:abstractNumId w:val="6"/>
  </w:num>
  <w:num w:numId="4" w16cid:durableId="620965264">
    <w:abstractNumId w:val="5"/>
  </w:num>
  <w:num w:numId="5" w16cid:durableId="1050495919">
    <w:abstractNumId w:val="4"/>
  </w:num>
  <w:num w:numId="6" w16cid:durableId="1338003387">
    <w:abstractNumId w:val="8"/>
  </w:num>
  <w:num w:numId="7" w16cid:durableId="1578251574">
    <w:abstractNumId w:val="3"/>
  </w:num>
  <w:num w:numId="8" w16cid:durableId="1422337201">
    <w:abstractNumId w:val="2"/>
  </w:num>
  <w:num w:numId="9" w16cid:durableId="201207639">
    <w:abstractNumId w:val="1"/>
  </w:num>
  <w:num w:numId="10" w16cid:durableId="1267228823">
    <w:abstractNumId w:val="0"/>
  </w:num>
  <w:num w:numId="11" w16cid:durableId="1230270766">
    <w:abstractNumId w:val="32"/>
  </w:num>
  <w:num w:numId="12" w16cid:durableId="733087934">
    <w:abstractNumId w:val="18"/>
  </w:num>
  <w:num w:numId="13" w16cid:durableId="1648167311">
    <w:abstractNumId w:val="38"/>
  </w:num>
  <w:num w:numId="14" w16cid:durableId="625358877">
    <w:abstractNumId w:val="16"/>
  </w:num>
  <w:num w:numId="15" w16cid:durableId="389230196">
    <w:abstractNumId w:val="21"/>
  </w:num>
  <w:num w:numId="16" w16cid:durableId="2096170533">
    <w:abstractNumId w:val="13"/>
  </w:num>
  <w:num w:numId="17" w16cid:durableId="24602906">
    <w:abstractNumId w:val="12"/>
  </w:num>
  <w:num w:numId="18" w16cid:durableId="513423933">
    <w:abstractNumId w:val="14"/>
  </w:num>
  <w:num w:numId="19" w16cid:durableId="877162537">
    <w:abstractNumId w:val="30"/>
  </w:num>
  <w:num w:numId="20" w16cid:durableId="1934312211">
    <w:abstractNumId w:val="37"/>
  </w:num>
  <w:num w:numId="21" w16cid:durableId="1843931312">
    <w:abstractNumId w:val="36"/>
  </w:num>
  <w:num w:numId="22" w16cid:durableId="1765110368">
    <w:abstractNumId w:val="39"/>
  </w:num>
  <w:num w:numId="23" w16cid:durableId="1626157549">
    <w:abstractNumId w:val="26"/>
  </w:num>
  <w:num w:numId="24" w16cid:durableId="2033728136">
    <w:abstractNumId w:val="33"/>
  </w:num>
  <w:num w:numId="25" w16cid:durableId="863326923">
    <w:abstractNumId w:val="28"/>
  </w:num>
  <w:num w:numId="26" w16cid:durableId="822896162">
    <w:abstractNumId w:val="24"/>
  </w:num>
  <w:num w:numId="27" w16cid:durableId="282201296">
    <w:abstractNumId w:val="27"/>
  </w:num>
  <w:num w:numId="28" w16cid:durableId="606888195">
    <w:abstractNumId w:val="17"/>
  </w:num>
  <w:num w:numId="29" w16cid:durableId="312948287">
    <w:abstractNumId w:val="19"/>
  </w:num>
  <w:num w:numId="30" w16cid:durableId="1846826682">
    <w:abstractNumId w:val="22"/>
  </w:num>
  <w:num w:numId="31" w16cid:durableId="878132905">
    <w:abstractNumId w:val="10"/>
  </w:num>
  <w:num w:numId="32" w16cid:durableId="1169296133">
    <w:abstractNumId w:val="23"/>
  </w:num>
  <w:num w:numId="33" w16cid:durableId="1139415778">
    <w:abstractNumId w:val="29"/>
  </w:num>
  <w:num w:numId="34" w16cid:durableId="1826581614">
    <w:abstractNumId w:val="15"/>
  </w:num>
  <w:num w:numId="35" w16cid:durableId="7169282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1867586">
    <w:abstractNumId w:val="35"/>
  </w:num>
  <w:num w:numId="37" w16cid:durableId="1451315593">
    <w:abstractNumId w:val="20"/>
  </w:num>
  <w:num w:numId="38" w16cid:durableId="106706372">
    <w:abstractNumId w:val="34"/>
  </w:num>
  <w:num w:numId="39" w16cid:durableId="1548450058">
    <w:abstractNumId w:val="25"/>
  </w:num>
  <w:num w:numId="40" w16cid:durableId="183447500">
    <w:abstractNumId w:val="31"/>
  </w:num>
  <w:num w:numId="41" w16cid:durableId="253052812">
    <w:abstractNumId w:val="11"/>
  </w:num>
  <w:num w:numId="42" w16cid:durableId="1719227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6B"/>
    <w:rsid w:val="00011F61"/>
    <w:rsid w:val="00013352"/>
    <w:rsid w:val="00016CF1"/>
    <w:rsid w:val="0001791C"/>
    <w:rsid w:val="0002057F"/>
    <w:rsid w:val="00034423"/>
    <w:rsid w:val="0004492B"/>
    <w:rsid w:val="00060EDA"/>
    <w:rsid w:val="00067479"/>
    <w:rsid w:val="000703C0"/>
    <w:rsid w:val="00073C51"/>
    <w:rsid w:val="00073DEE"/>
    <w:rsid w:val="00076BCE"/>
    <w:rsid w:val="00092C20"/>
    <w:rsid w:val="000A734B"/>
    <w:rsid w:val="000A73D9"/>
    <w:rsid w:val="000B0EFE"/>
    <w:rsid w:val="000B29C3"/>
    <w:rsid w:val="000B3F78"/>
    <w:rsid w:val="000C1FE5"/>
    <w:rsid w:val="000C7504"/>
    <w:rsid w:val="000D2975"/>
    <w:rsid w:val="000D2A16"/>
    <w:rsid w:val="000D7D35"/>
    <w:rsid w:val="000E55C0"/>
    <w:rsid w:val="0011187C"/>
    <w:rsid w:val="00114CA7"/>
    <w:rsid w:val="00115322"/>
    <w:rsid w:val="00115CC7"/>
    <w:rsid w:val="00124A67"/>
    <w:rsid w:val="00131083"/>
    <w:rsid w:val="001322BA"/>
    <w:rsid w:val="001379CE"/>
    <w:rsid w:val="00142DC8"/>
    <w:rsid w:val="00152602"/>
    <w:rsid w:val="0017494E"/>
    <w:rsid w:val="00177AD7"/>
    <w:rsid w:val="0018523E"/>
    <w:rsid w:val="00186E9F"/>
    <w:rsid w:val="00196D65"/>
    <w:rsid w:val="00196E1E"/>
    <w:rsid w:val="0019729E"/>
    <w:rsid w:val="001A15A6"/>
    <w:rsid w:val="001A3336"/>
    <w:rsid w:val="001A455C"/>
    <w:rsid w:val="001B0BAE"/>
    <w:rsid w:val="001B34FE"/>
    <w:rsid w:val="001B4A58"/>
    <w:rsid w:val="001B4B71"/>
    <w:rsid w:val="001B5569"/>
    <w:rsid w:val="001B5D50"/>
    <w:rsid w:val="001B5DEC"/>
    <w:rsid w:val="001C78EE"/>
    <w:rsid w:val="001D0A0C"/>
    <w:rsid w:val="001D3604"/>
    <w:rsid w:val="001E4A9E"/>
    <w:rsid w:val="001E5CC0"/>
    <w:rsid w:val="001F43A3"/>
    <w:rsid w:val="00206340"/>
    <w:rsid w:val="00216104"/>
    <w:rsid w:val="002327B5"/>
    <w:rsid w:val="00235A6D"/>
    <w:rsid w:val="002370CB"/>
    <w:rsid w:val="00246BF9"/>
    <w:rsid w:val="00253F14"/>
    <w:rsid w:val="0027397D"/>
    <w:rsid w:val="00274B34"/>
    <w:rsid w:val="002876C0"/>
    <w:rsid w:val="00291BA6"/>
    <w:rsid w:val="00293F8C"/>
    <w:rsid w:val="002A07F8"/>
    <w:rsid w:val="002A3D47"/>
    <w:rsid w:val="002B1366"/>
    <w:rsid w:val="002C0BE6"/>
    <w:rsid w:val="002C4D1F"/>
    <w:rsid w:val="002C52AC"/>
    <w:rsid w:val="002D14A8"/>
    <w:rsid w:val="002D49F8"/>
    <w:rsid w:val="002E315E"/>
    <w:rsid w:val="002E3CA6"/>
    <w:rsid w:val="002E6DCE"/>
    <w:rsid w:val="002F00DB"/>
    <w:rsid w:val="002F384D"/>
    <w:rsid w:val="002F38F2"/>
    <w:rsid w:val="002F4640"/>
    <w:rsid w:val="002F56D9"/>
    <w:rsid w:val="002F776E"/>
    <w:rsid w:val="003014E7"/>
    <w:rsid w:val="003062A9"/>
    <w:rsid w:val="00307DB2"/>
    <w:rsid w:val="00314492"/>
    <w:rsid w:val="003215AF"/>
    <w:rsid w:val="00326F1E"/>
    <w:rsid w:val="003349AA"/>
    <w:rsid w:val="00336970"/>
    <w:rsid w:val="00340F8D"/>
    <w:rsid w:val="003438CC"/>
    <w:rsid w:val="00346AF2"/>
    <w:rsid w:val="003563AC"/>
    <w:rsid w:val="00366C6C"/>
    <w:rsid w:val="0037228C"/>
    <w:rsid w:val="003731DB"/>
    <w:rsid w:val="0038508A"/>
    <w:rsid w:val="00391B82"/>
    <w:rsid w:val="003A6728"/>
    <w:rsid w:val="003A7FD5"/>
    <w:rsid w:val="003B04A0"/>
    <w:rsid w:val="003D66B8"/>
    <w:rsid w:val="003E2613"/>
    <w:rsid w:val="003E289E"/>
    <w:rsid w:val="003E668D"/>
    <w:rsid w:val="003F001D"/>
    <w:rsid w:val="003F2E35"/>
    <w:rsid w:val="003F520A"/>
    <w:rsid w:val="004016A7"/>
    <w:rsid w:val="00412A50"/>
    <w:rsid w:val="004206FA"/>
    <w:rsid w:val="00421DDB"/>
    <w:rsid w:val="004315CD"/>
    <w:rsid w:val="00431CFC"/>
    <w:rsid w:val="004335B5"/>
    <w:rsid w:val="00440AC9"/>
    <w:rsid w:val="004500E5"/>
    <w:rsid w:val="00477B9E"/>
    <w:rsid w:val="00481458"/>
    <w:rsid w:val="00484DA4"/>
    <w:rsid w:val="004920AF"/>
    <w:rsid w:val="00493AA7"/>
    <w:rsid w:val="00494E76"/>
    <w:rsid w:val="004A014D"/>
    <w:rsid w:val="004A6DFB"/>
    <w:rsid w:val="004A7F65"/>
    <w:rsid w:val="004B05F9"/>
    <w:rsid w:val="004B2C67"/>
    <w:rsid w:val="004C2F63"/>
    <w:rsid w:val="004C5C50"/>
    <w:rsid w:val="004D4C3E"/>
    <w:rsid w:val="004E2DC0"/>
    <w:rsid w:val="004E3F44"/>
    <w:rsid w:val="004F3598"/>
    <w:rsid w:val="00502135"/>
    <w:rsid w:val="005111B7"/>
    <w:rsid w:val="005152E6"/>
    <w:rsid w:val="005220B2"/>
    <w:rsid w:val="00524A3F"/>
    <w:rsid w:val="0053773E"/>
    <w:rsid w:val="00545A00"/>
    <w:rsid w:val="005469B0"/>
    <w:rsid w:val="00554279"/>
    <w:rsid w:val="00556138"/>
    <w:rsid w:val="005675C8"/>
    <w:rsid w:val="00572D5A"/>
    <w:rsid w:val="005862B4"/>
    <w:rsid w:val="005869C5"/>
    <w:rsid w:val="005910FD"/>
    <w:rsid w:val="005A29C6"/>
    <w:rsid w:val="005A3A97"/>
    <w:rsid w:val="005A7ACB"/>
    <w:rsid w:val="005B25B7"/>
    <w:rsid w:val="005C0A0E"/>
    <w:rsid w:val="005C2157"/>
    <w:rsid w:val="005C2D75"/>
    <w:rsid w:val="005C30C6"/>
    <w:rsid w:val="005C435F"/>
    <w:rsid w:val="005D0B1D"/>
    <w:rsid w:val="005D132B"/>
    <w:rsid w:val="005E2232"/>
    <w:rsid w:val="005F13D2"/>
    <w:rsid w:val="005F5239"/>
    <w:rsid w:val="0060259A"/>
    <w:rsid w:val="006048D4"/>
    <w:rsid w:val="00605D11"/>
    <w:rsid w:val="006064DE"/>
    <w:rsid w:val="00612092"/>
    <w:rsid w:val="00613768"/>
    <w:rsid w:val="00615EE3"/>
    <w:rsid w:val="00624B25"/>
    <w:rsid w:val="006336A9"/>
    <w:rsid w:val="0063461F"/>
    <w:rsid w:val="0064421F"/>
    <w:rsid w:val="00660921"/>
    <w:rsid w:val="00663CB7"/>
    <w:rsid w:val="00663EC8"/>
    <w:rsid w:val="006758BB"/>
    <w:rsid w:val="00681DDE"/>
    <w:rsid w:val="00690F17"/>
    <w:rsid w:val="00693888"/>
    <w:rsid w:val="00694272"/>
    <w:rsid w:val="006A26B0"/>
    <w:rsid w:val="006A76BE"/>
    <w:rsid w:val="006A7D2A"/>
    <w:rsid w:val="006B182D"/>
    <w:rsid w:val="006B783A"/>
    <w:rsid w:val="006C2493"/>
    <w:rsid w:val="006D6B9E"/>
    <w:rsid w:val="006E3BBD"/>
    <w:rsid w:val="006F13C6"/>
    <w:rsid w:val="006F5EFD"/>
    <w:rsid w:val="007046B1"/>
    <w:rsid w:val="00707655"/>
    <w:rsid w:val="00715D35"/>
    <w:rsid w:val="00716C66"/>
    <w:rsid w:val="00721EA9"/>
    <w:rsid w:val="00723854"/>
    <w:rsid w:val="00730A35"/>
    <w:rsid w:val="00741079"/>
    <w:rsid w:val="00741B34"/>
    <w:rsid w:val="0074437C"/>
    <w:rsid w:val="00756592"/>
    <w:rsid w:val="00761590"/>
    <w:rsid w:val="00764CDB"/>
    <w:rsid w:val="00785EEF"/>
    <w:rsid w:val="0079295A"/>
    <w:rsid w:val="00794912"/>
    <w:rsid w:val="007A42C9"/>
    <w:rsid w:val="007B3765"/>
    <w:rsid w:val="007B4179"/>
    <w:rsid w:val="007B64BB"/>
    <w:rsid w:val="007B78D2"/>
    <w:rsid w:val="007C2E92"/>
    <w:rsid w:val="007C4D30"/>
    <w:rsid w:val="007C71F8"/>
    <w:rsid w:val="007E3BE4"/>
    <w:rsid w:val="007E7A06"/>
    <w:rsid w:val="008031C8"/>
    <w:rsid w:val="00816A3D"/>
    <w:rsid w:val="008221E5"/>
    <w:rsid w:val="00827E28"/>
    <w:rsid w:val="00834E6A"/>
    <w:rsid w:val="008429F9"/>
    <w:rsid w:val="008451EC"/>
    <w:rsid w:val="00846135"/>
    <w:rsid w:val="008519D0"/>
    <w:rsid w:val="00881508"/>
    <w:rsid w:val="00890CDF"/>
    <w:rsid w:val="00894F8F"/>
    <w:rsid w:val="008A3550"/>
    <w:rsid w:val="008B34AF"/>
    <w:rsid w:val="008C00AE"/>
    <w:rsid w:val="008C1FB9"/>
    <w:rsid w:val="008D59FD"/>
    <w:rsid w:val="008F1DFB"/>
    <w:rsid w:val="008F30C4"/>
    <w:rsid w:val="00907B51"/>
    <w:rsid w:val="00907F73"/>
    <w:rsid w:val="00914E9B"/>
    <w:rsid w:val="00921A0A"/>
    <w:rsid w:val="009370D3"/>
    <w:rsid w:val="00941888"/>
    <w:rsid w:val="00943EE4"/>
    <w:rsid w:val="00946851"/>
    <w:rsid w:val="009542C4"/>
    <w:rsid w:val="0095580F"/>
    <w:rsid w:val="009620B4"/>
    <w:rsid w:val="00964CA9"/>
    <w:rsid w:val="009705BD"/>
    <w:rsid w:val="009838FD"/>
    <w:rsid w:val="0098589C"/>
    <w:rsid w:val="0098741C"/>
    <w:rsid w:val="00993B45"/>
    <w:rsid w:val="009A0B6C"/>
    <w:rsid w:val="009A0F41"/>
    <w:rsid w:val="009A177A"/>
    <w:rsid w:val="009B1DAF"/>
    <w:rsid w:val="009B2F7E"/>
    <w:rsid w:val="009B7BCC"/>
    <w:rsid w:val="009C2508"/>
    <w:rsid w:val="009C7D88"/>
    <w:rsid w:val="009D5DB8"/>
    <w:rsid w:val="009E2354"/>
    <w:rsid w:val="009E7F59"/>
    <w:rsid w:val="009F085B"/>
    <w:rsid w:val="009F4076"/>
    <w:rsid w:val="009F4109"/>
    <w:rsid w:val="009F5405"/>
    <w:rsid w:val="009F7604"/>
    <w:rsid w:val="00A009FD"/>
    <w:rsid w:val="00A00B1C"/>
    <w:rsid w:val="00A017C9"/>
    <w:rsid w:val="00A052D5"/>
    <w:rsid w:val="00A0562A"/>
    <w:rsid w:val="00A10C3F"/>
    <w:rsid w:val="00A20A51"/>
    <w:rsid w:val="00A20D06"/>
    <w:rsid w:val="00A306AA"/>
    <w:rsid w:val="00A31FF9"/>
    <w:rsid w:val="00A37064"/>
    <w:rsid w:val="00A44F83"/>
    <w:rsid w:val="00A54157"/>
    <w:rsid w:val="00A617AB"/>
    <w:rsid w:val="00A66C47"/>
    <w:rsid w:val="00A70BBF"/>
    <w:rsid w:val="00A72E1E"/>
    <w:rsid w:val="00A811F6"/>
    <w:rsid w:val="00A825F2"/>
    <w:rsid w:val="00A918E9"/>
    <w:rsid w:val="00A92DA4"/>
    <w:rsid w:val="00A94E26"/>
    <w:rsid w:val="00A97070"/>
    <w:rsid w:val="00AB4E8A"/>
    <w:rsid w:val="00AB59EA"/>
    <w:rsid w:val="00AC58D5"/>
    <w:rsid w:val="00AC68ED"/>
    <w:rsid w:val="00AD2593"/>
    <w:rsid w:val="00AD3E95"/>
    <w:rsid w:val="00AE3DC9"/>
    <w:rsid w:val="00AE561D"/>
    <w:rsid w:val="00AE717D"/>
    <w:rsid w:val="00AF1611"/>
    <w:rsid w:val="00B049B9"/>
    <w:rsid w:val="00B2158D"/>
    <w:rsid w:val="00B21B3D"/>
    <w:rsid w:val="00B22E01"/>
    <w:rsid w:val="00B256B7"/>
    <w:rsid w:val="00B27C4F"/>
    <w:rsid w:val="00B31C39"/>
    <w:rsid w:val="00B32B18"/>
    <w:rsid w:val="00B35D83"/>
    <w:rsid w:val="00B35E04"/>
    <w:rsid w:val="00B42BED"/>
    <w:rsid w:val="00B51CF9"/>
    <w:rsid w:val="00B5293E"/>
    <w:rsid w:val="00B53319"/>
    <w:rsid w:val="00B55375"/>
    <w:rsid w:val="00B575EE"/>
    <w:rsid w:val="00B57CF3"/>
    <w:rsid w:val="00B70AC2"/>
    <w:rsid w:val="00B735FE"/>
    <w:rsid w:val="00B75D59"/>
    <w:rsid w:val="00B80791"/>
    <w:rsid w:val="00B84FBE"/>
    <w:rsid w:val="00B92AE5"/>
    <w:rsid w:val="00B97330"/>
    <w:rsid w:val="00BB1DE7"/>
    <w:rsid w:val="00BB6161"/>
    <w:rsid w:val="00BB6B51"/>
    <w:rsid w:val="00BD0DE2"/>
    <w:rsid w:val="00BD66E4"/>
    <w:rsid w:val="00BE63FF"/>
    <w:rsid w:val="00BE6EA3"/>
    <w:rsid w:val="00C04A90"/>
    <w:rsid w:val="00C20CD7"/>
    <w:rsid w:val="00C23051"/>
    <w:rsid w:val="00C24826"/>
    <w:rsid w:val="00C27667"/>
    <w:rsid w:val="00C349AE"/>
    <w:rsid w:val="00C45590"/>
    <w:rsid w:val="00C458F0"/>
    <w:rsid w:val="00C5126B"/>
    <w:rsid w:val="00C5213E"/>
    <w:rsid w:val="00C62512"/>
    <w:rsid w:val="00C66472"/>
    <w:rsid w:val="00C70745"/>
    <w:rsid w:val="00C716B4"/>
    <w:rsid w:val="00C74A71"/>
    <w:rsid w:val="00C77DE6"/>
    <w:rsid w:val="00C77FE6"/>
    <w:rsid w:val="00C84536"/>
    <w:rsid w:val="00C92317"/>
    <w:rsid w:val="00C92752"/>
    <w:rsid w:val="00CB6A9D"/>
    <w:rsid w:val="00CC796B"/>
    <w:rsid w:val="00CD4712"/>
    <w:rsid w:val="00CD714A"/>
    <w:rsid w:val="00CE0FF4"/>
    <w:rsid w:val="00CE14BF"/>
    <w:rsid w:val="00CF7571"/>
    <w:rsid w:val="00D00FF8"/>
    <w:rsid w:val="00D04AB1"/>
    <w:rsid w:val="00D07075"/>
    <w:rsid w:val="00D10597"/>
    <w:rsid w:val="00D11F7A"/>
    <w:rsid w:val="00D169E2"/>
    <w:rsid w:val="00D21A26"/>
    <w:rsid w:val="00D22B06"/>
    <w:rsid w:val="00D24613"/>
    <w:rsid w:val="00D27375"/>
    <w:rsid w:val="00D42E3A"/>
    <w:rsid w:val="00D43420"/>
    <w:rsid w:val="00D5226D"/>
    <w:rsid w:val="00D5576F"/>
    <w:rsid w:val="00D63EBA"/>
    <w:rsid w:val="00D647A1"/>
    <w:rsid w:val="00D73F71"/>
    <w:rsid w:val="00D80C9D"/>
    <w:rsid w:val="00D93EA4"/>
    <w:rsid w:val="00D961F6"/>
    <w:rsid w:val="00DA13F9"/>
    <w:rsid w:val="00DD168B"/>
    <w:rsid w:val="00DD49C5"/>
    <w:rsid w:val="00DE00A5"/>
    <w:rsid w:val="00DF05E5"/>
    <w:rsid w:val="00DF7CAE"/>
    <w:rsid w:val="00E01D23"/>
    <w:rsid w:val="00E11576"/>
    <w:rsid w:val="00E11FD7"/>
    <w:rsid w:val="00E12D54"/>
    <w:rsid w:val="00E213D5"/>
    <w:rsid w:val="00E2420B"/>
    <w:rsid w:val="00E304E1"/>
    <w:rsid w:val="00E3623B"/>
    <w:rsid w:val="00E37177"/>
    <w:rsid w:val="00E56F63"/>
    <w:rsid w:val="00E611F3"/>
    <w:rsid w:val="00E6368F"/>
    <w:rsid w:val="00E6787F"/>
    <w:rsid w:val="00E73BFA"/>
    <w:rsid w:val="00E74429"/>
    <w:rsid w:val="00E761FC"/>
    <w:rsid w:val="00E76ADF"/>
    <w:rsid w:val="00E8215E"/>
    <w:rsid w:val="00E82375"/>
    <w:rsid w:val="00E83642"/>
    <w:rsid w:val="00E83789"/>
    <w:rsid w:val="00E91511"/>
    <w:rsid w:val="00E923EF"/>
    <w:rsid w:val="00E9243E"/>
    <w:rsid w:val="00E946C6"/>
    <w:rsid w:val="00EB3048"/>
    <w:rsid w:val="00EB59DA"/>
    <w:rsid w:val="00EC2710"/>
    <w:rsid w:val="00EC30C0"/>
    <w:rsid w:val="00EC6E35"/>
    <w:rsid w:val="00EE07B9"/>
    <w:rsid w:val="00EE0DB0"/>
    <w:rsid w:val="00EF5E70"/>
    <w:rsid w:val="00F27E17"/>
    <w:rsid w:val="00F33CF8"/>
    <w:rsid w:val="00F4068B"/>
    <w:rsid w:val="00F4207E"/>
    <w:rsid w:val="00F50721"/>
    <w:rsid w:val="00F5676B"/>
    <w:rsid w:val="00F81919"/>
    <w:rsid w:val="00F877D6"/>
    <w:rsid w:val="00F948D2"/>
    <w:rsid w:val="00FA7D1B"/>
    <w:rsid w:val="00FB0EE0"/>
    <w:rsid w:val="00FB1C07"/>
    <w:rsid w:val="00FB3A19"/>
    <w:rsid w:val="00FB7582"/>
    <w:rsid w:val="00FC5555"/>
    <w:rsid w:val="00FD6FA8"/>
    <w:rsid w:val="00FF0695"/>
    <w:rsid w:val="00FF10A3"/>
    <w:rsid w:val="00FF1BAF"/>
    <w:rsid w:val="00FF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4587D"/>
  <w14:defaultImageDpi w14:val="32767"/>
  <w15:chartTrackingRefBased/>
  <w15:docId w15:val="{6DC27F61-649C-4DDB-BBA9-BCCFA2DC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20"/>
    <w:lsdException w:name="heading 1" w:uiPriority="9"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6"/>
    <w:lsdException w:name="Intense Emphasis" w:uiPriority="27"/>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6"/>
    <w:rsid w:val="00484DA4"/>
    <w:pPr>
      <w:spacing w:after="120"/>
    </w:pPr>
    <w:rPr>
      <w:color w:val="00B050"/>
      <w:sz w:val="18"/>
    </w:rPr>
  </w:style>
  <w:style w:type="paragraph" w:styleId="Heading1">
    <w:name w:val="heading 1"/>
    <w:basedOn w:val="Normal"/>
    <w:next w:val="Bodycopy"/>
    <w:link w:val="Heading1Char"/>
    <w:uiPriority w:val="7"/>
    <w:qFormat/>
    <w:rsid w:val="00A00B1C"/>
    <w:pPr>
      <w:keepNext/>
      <w:spacing w:before="480" w:after="240"/>
      <w:outlineLvl w:val="0"/>
    </w:pPr>
    <w:rPr>
      <w:rFonts w:asciiTheme="majorHAnsi" w:eastAsiaTheme="majorEastAsia" w:hAnsiTheme="majorHAnsi" w:cstheme="majorBidi"/>
      <w:b/>
      <w:color w:val="005596" w:themeColor="accent4"/>
      <w:sz w:val="28"/>
      <w:szCs w:val="32"/>
    </w:rPr>
  </w:style>
  <w:style w:type="paragraph" w:styleId="Heading2">
    <w:name w:val="heading 2"/>
    <w:basedOn w:val="Normal"/>
    <w:next w:val="Bodycopy"/>
    <w:link w:val="Heading2Char"/>
    <w:uiPriority w:val="7"/>
    <w:qFormat/>
    <w:rsid w:val="002F4640"/>
    <w:pPr>
      <w:keepNext/>
      <w:keepLines/>
      <w:spacing w:before="24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Bodycopy"/>
    <w:link w:val="Heading3Char"/>
    <w:uiPriority w:val="7"/>
    <w:qFormat/>
    <w:rsid w:val="00A00B1C"/>
    <w:pPr>
      <w:keepNext/>
      <w:keepLines/>
      <w:spacing w:before="240" w:after="80"/>
      <w:outlineLvl w:val="2"/>
    </w:pPr>
    <w:rPr>
      <w:rFonts w:asciiTheme="majorHAnsi" w:eastAsiaTheme="majorEastAsia" w:hAnsiTheme="majorHAnsi" w:cstheme="majorBidi"/>
      <w:b/>
      <w:color w:val="005596" w:themeColor="accent4"/>
      <w:sz w:val="21"/>
    </w:rPr>
  </w:style>
  <w:style w:type="paragraph" w:styleId="Heading4">
    <w:name w:val="heading 4"/>
    <w:basedOn w:val="Normal"/>
    <w:next w:val="Bodycopy"/>
    <w:link w:val="Heading4Char"/>
    <w:uiPriority w:val="7"/>
    <w:qFormat/>
    <w:rsid w:val="002F4640"/>
    <w:pPr>
      <w:keepNext/>
      <w:keepLines/>
      <w:spacing w:before="240" w:after="8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640"/>
    <w:pPr>
      <w:pBdr>
        <w:top w:val="single" w:sz="4" w:space="6" w:color="000000" w:themeColor="text1"/>
      </w:pBdr>
      <w:spacing w:after="0"/>
    </w:pPr>
    <w:rPr>
      <w:color w:val="000000" w:themeColor="text1"/>
    </w:rPr>
  </w:style>
  <w:style w:type="character" w:customStyle="1" w:styleId="HeaderChar">
    <w:name w:val="Header Char"/>
    <w:basedOn w:val="DefaultParagraphFont"/>
    <w:link w:val="Header"/>
    <w:uiPriority w:val="99"/>
    <w:rsid w:val="002C0BE6"/>
    <w:rPr>
      <w:rFonts w:eastAsiaTheme="minorEastAsia"/>
      <w:color w:val="000000" w:themeColor="text1"/>
      <w:sz w:val="18"/>
    </w:rPr>
  </w:style>
  <w:style w:type="paragraph" w:styleId="Footer">
    <w:name w:val="footer"/>
    <w:basedOn w:val="Normal"/>
    <w:link w:val="FooterChar"/>
    <w:uiPriority w:val="99"/>
    <w:unhideWhenUsed/>
    <w:rsid w:val="002F4640"/>
    <w:pPr>
      <w:pBdr>
        <w:top w:val="single" w:sz="4" w:space="15" w:color="000000" w:themeColor="text1"/>
      </w:pBdr>
      <w:tabs>
        <w:tab w:val="right" w:pos="10620"/>
      </w:tabs>
      <w:spacing w:after="0"/>
    </w:pPr>
    <w:rPr>
      <w:color w:val="000000" w:themeColor="text1"/>
    </w:rPr>
  </w:style>
  <w:style w:type="character" w:customStyle="1" w:styleId="FooterChar">
    <w:name w:val="Footer Char"/>
    <w:basedOn w:val="DefaultParagraphFont"/>
    <w:link w:val="Footer"/>
    <w:uiPriority w:val="99"/>
    <w:rPr>
      <w:rFonts w:eastAsiaTheme="minorEastAsia"/>
      <w:color w:val="000000" w:themeColor="text1"/>
      <w:sz w:val="18"/>
    </w:rPr>
  </w:style>
  <w:style w:type="character" w:customStyle="1" w:styleId="Heading1Char">
    <w:name w:val="Heading 1 Char"/>
    <w:basedOn w:val="DefaultParagraphFont"/>
    <w:link w:val="Heading1"/>
    <w:uiPriority w:val="7"/>
    <w:rsid w:val="00A00B1C"/>
    <w:rPr>
      <w:rFonts w:asciiTheme="majorHAnsi" w:eastAsiaTheme="majorEastAsia" w:hAnsiTheme="majorHAnsi" w:cstheme="majorBidi"/>
      <w:b/>
      <w:color w:val="005596" w:themeColor="accent4"/>
      <w:sz w:val="28"/>
      <w:szCs w:val="32"/>
    </w:rPr>
  </w:style>
  <w:style w:type="paragraph" w:styleId="BalloonText">
    <w:name w:val="Balloon Text"/>
    <w:basedOn w:val="Normal"/>
    <w:link w:val="BalloonTextChar"/>
    <w:uiPriority w:val="99"/>
    <w:semiHidden/>
    <w:unhideWhenUsed/>
    <w:rPr>
      <w:rFonts w:ascii="Segoe UI" w:hAnsi="Segoe UI" w:cs="Segoe UI"/>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rPr>
  </w:style>
  <w:style w:type="character" w:customStyle="1" w:styleId="Heading2Char">
    <w:name w:val="Heading 2 Char"/>
    <w:basedOn w:val="DefaultParagraphFont"/>
    <w:link w:val="Heading2"/>
    <w:uiPriority w:val="7"/>
    <w:rPr>
      <w:rFonts w:asciiTheme="majorHAnsi" w:eastAsiaTheme="majorEastAsia" w:hAnsiTheme="majorHAnsi" w:cstheme="majorBidi"/>
      <w:b/>
      <w:color w:val="000000" w:themeColor="text1"/>
      <w:szCs w:val="26"/>
    </w:rPr>
  </w:style>
  <w:style w:type="character" w:customStyle="1" w:styleId="Heading3Char">
    <w:name w:val="Heading 3 Char"/>
    <w:basedOn w:val="DefaultParagraphFont"/>
    <w:link w:val="Heading3"/>
    <w:uiPriority w:val="7"/>
    <w:rsid w:val="00A00B1C"/>
    <w:rPr>
      <w:rFonts w:asciiTheme="majorHAnsi" w:eastAsiaTheme="majorEastAsia" w:hAnsiTheme="majorHAnsi" w:cstheme="majorBidi"/>
      <w:b/>
      <w:color w:val="005596" w:themeColor="accent4"/>
      <w:sz w:val="21"/>
    </w:rPr>
  </w:style>
  <w:style w:type="table" w:styleId="TableGrid">
    <w:name w:val="Table Grid"/>
    <w:basedOn w:val="TableNormal"/>
    <w:uiPriority w:val="59"/>
    <w:rsid w:val="00C04A90"/>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Bodycopy">
    <w:name w:val="Body copy"/>
    <w:basedOn w:val="Normal"/>
    <w:uiPriority w:val="8"/>
    <w:qFormat/>
    <w:rsid w:val="00E82375"/>
    <w:rPr>
      <w:rFonts w:eastAsia="Calibri" w:cs="Times New Roman"/>
      <w:color w:val="000000" w:themeColor="text1"/>
      <w:szCs w:val="18"/>
    </w:rPr>
  </w:style>
  <w:style w:type="paragraph" w:customStyle="1" w:styleId="Tablegraphintrocopy">
    <w:name w:val="Table/graph intro copy"/>
    <w:basedOn w:val="Tablecopy"/>
    <w:uiPriority w:val="13"/>
    <w:qFormat/>
    <w:pPr>
      <w:spacing w:before="120" w:after="120"/>
    </w:pPr>
    <w:rPr>
      <w:rFonts w:eastAsia="Times New Roman"/>
      <w:sz w:val="16"/>
      <w:szCs w:val="20"/>
    </w:rPr>
  </w:style>
  <w:style w:type="paragraph" w:customStyle="1" w:styleId="Back-bodycopy">
    <w:name w:val="Back - body copy"/>
    <w:basedOn w:val="Bodycopy"/>
    <w:uiPriority w:val="23"/>
    <w:rsid w:val="008031C8"/>
    <w:pPr>
      <w:spacing w:after="80" w:line="200" w:lineRule="exact"/>
      <w:ind w:right="3845"/>
    </w:pPr>
    <w:rPr>
      <w:rFonts w:eastAsia="Times New Roman"/>
      <w:spacing w:val="-4"/>
      <w:sz w:val="16"/>
      <w:szCs w:val="20"/>
    </w:rPr>
  </w:style>
  <w:style w:type="paragraph" w:customStyle="1" w:styleId="Authorinfo">
    <w:name w:val="Author info"/>
    <w:basedOn w:val="Normal"/>
    <w:next w:val="Bodycopy"/>
    <w:uiPriority w:val="5"/>
    <w:rsid w:val="002F4640"/>
    <w:rPr>
      <w:rFonts w:eastAsia="Times New Roman" w:cs="Times New Roman"/>
      <w:color w:val="000000" w:themeColor="text1"/>
      <w:szCs w:val="20"/>
    </w:rPr>
  </w:style>
  <w:style w:type="paragraph" w:styleId="TOCHeading">
    <w:name w:val="TOC Heading"/>
    <w:basedOn w:val="Normal"/>
    <w:next w:val="Normal"/>
    <w:uiPriority w:val="39"/>
    <w:semiHidden/>
    <w:rsid w:val="002F4640"/>
    <w:pPr>
      <w:keepLines/>
      <w:spacing w:before="240" w:after="0"/>
    </w:pPr>
    <w:rPr>
      <w:rFonts w:asciiTheme="majorHAnsi" w:eastAsiaTheme="majorEastAsia" w:hAnsiTheme="majorHAnsi" w:cstheme="majorBidi"/>
      <w:color w:val="C65C09" w:themeColor="accent1" w:themeShade="BF"/>
      <w:sz w:val="32"/>
      <w:szCs w:val="32"/>
    </w:rPr>
  </w:style>
  <w:style w:type="table" w:customStyle="1" w:styleId="RPtable1">
    <w:name w:val="RP table1"/>
    <w:basedOn w:val="TableNormal"/>
    <w:uiPriority w:val="99"/>
    <w:rsid w:val="00BD66E4"/>
    <w:rPr>
      <w:color w:val="000000" w:themeColor="text1"/>
      <w:sz w:val="14"/>
    </w:rPr>
    <w:tblPr>
      <w:tblBorders>
        <w:top w:val="single" w:sz="2" w:space="0" w:color="000000" w:themeColor="text1"/>
        <w:bottom w:val="single" w:sz="2" w:space="0" w:color="000000" w:themeColor="text1"/>
        <w:insideH w:val="single" w:sz="2" w:space="0" w:color="000000" w:themeColor="text1"/>
      </w:tblBorders>
      <w:tblCellMar>
        <w:left w:w="0" w:type="dxa"/>
        <w:right w:w="0" w:type="dxa"/>
      </w:tblCellMar>
    </w:tblPr>
    <w:trPr>
      <w:cantSplit/>
    </w:trPr>
    <w:tblStylePr w:type="firstRow">
      <w:rPr>
        <w:b/>
        <w:i w:val="0"/>
        <w:caps/>
        <w:smallCaps w:val="0"/>
        <w:strike w:val="0"/>
        <w:dstrike w:val="0"/>
        <w:vanish w:val="0"/>
        <w:vertAlign w:val="baseline"/>
      </w:rPr>
      <w:tblPr/>
      <w:tcPr>
        <w:tcBorders>
          <w:top w:val="single" w:sz="36" w:space="0" w:color="000000" w:themeColor="text1"/>
          <w:left w:val="nil"/>
          <w:bottom w:val="single" w:sz="36" w:space="0" w:color="000000" w:themeColor="text1"/>
          <w:right w:val="nil"/>
          <w:insideH w:val="nil"/>
          <w:insideV w:val="nil"/>
          <w:tl2br w:val="nil"/>
          <w:tr2bl w:val="nil"/>
        </w:tcBorders>
        <w:shd w:val="clear" w:color="auto" w:fill="DEDFDF" w:themeFill="text2" w:themeFillTint="33"/>
      </w:tcPr>
    </w:tblStylePr>
    <w:tblStylePr w:type="lastRow">
      <w:rPr>
        <w:b/>
      </w:rPr>
      <w:tblPr/>
      <w:tcPr>
        <w:tcBorders>
          <w:top w:val="single" w:sz="12" w:space="0" w:color="000000" w:themeColor="text1"/>
          <w:left w:val="nil"/>
          <w:bottom w:val="single" w:sz="12" w:space="0" w:color="000000" w:themeColor="text1"/>
          <w:right w:val="nil"/>
          <w:insideH w:val="nil"/>
          <w:insideV w:val="nil"/>
          <w:tl2br w:val="nil"/>
          <w:tr2bl w:val="nil"/>
        </w:tcBorders>
        <w:shd w:val="clear" w:color="auto" w:fill="F2F2F2" w:themeFill="background1" w:themeFillShade="F2"/>
      </w:tcPr>
    </w:tblStylePr>
    <w:tblStylePr w:type="firstCol">
      <w:rPr>
        <w:b/>
      </w:rPr>
    </w:tblStylePr>
  </w:style>
  <w:style w:type="paragraph" w:customStyle="1" w:styleId="Tablegraphtitle">
    <w:name w:val="Table/graph title"/>
    <w:basedOn w:val="Normal"/>
    <w:next w:val="Tablegraphintrocopy"/>
    <w:uiPriority w:val="12"/>
    <w:qFormat/>
    <w:rsid w:val="00A00B1C"/>
    <w:pPr>
      <w:keepNext/>
      <w:tabs>
        <w:tab w:val="left" w:pos="288"/>
      </w:tabs>
      <w:spacing w:before="480"/>
    </w:pPr>
    <w:rPr>
      <w:rFonts w:eastAsia="Times New Roman" w:cs="Times New Roman"/>
      <w:b/>
      <w:bCs/>
      <w:color w:val="005596" w:themeColor="accent4"/>
      <w:sz w:val="20"/>
      <w:szCs w:val="20"/>
    </w:rPr>
  </w:style>
  <w:style w:type="paragraph" w:customStyle="1" w:styleId="Tablegraphsource">
    <w:name w:val="Table/graph source"/>
    <w:basedOn w:val="Tablecopy"/>
    <w:next w:val="Bodycopy"/>
    <w:uiPriority w:val="15"/>
    <w:qFormat/>
    <w:pPr>
      <w:keepNext w:val="0"/>
      <w:spacing w:before="120" w:after="240"/>
    </w:pPr>
  </w:style>
  <w:style w:type="paragraph" w:customStyle="1" w:styleId="TablegraphNOSOURCE">
    <w:name w:val="Table/graph NO SOURCE"/>
    <w:basedOn w:val="Tablegraphsource"/>
    <w:next w:val="Bodycopy"/>
    <w:uiPriority w:val="16"/>
    <w:qFormat/>
    <w:pPr>
      <w:spacing w:before="0" w:after="120"/>
    </w:pPr>
    <w:rPr>
      <w:rFonts w:eastAsia="Times New Roman"/>
      <w:szCs w:val="20"/>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Pr>
  </w:style>
  <w:style w:type="paragraph" w:customStyle="1" w:styleId="Tintedtablecopy">
    <w:name w:val="Tinted table copy"/>
    <w:basedOn w:val="Normal"/>
    <w:uiPriority w:val="11"/>
    <w:rsid w:val="002F4640"/>
    <w:pPr>
      <w:keepNext/>
    </w:pPr>
    <w:rPr>
      <w:rFonts w:eastAsia="Calibri" w:cs="Times New Roman"/>
      <w:color w:val="000000" w:themeColor="text1"/>
      <w:sz w:val="24"/>
      <w:szCs w:val="18"/>
    </w:rPr>
  </w:style>
  <w:style w:type="character" w:customStyle="1" w:styleId="Heading4Char">
    <w:name w:val="Heading 4 Char"/>
    <w:basedOn w:val="DefaultParagraphFont"/>
    <w:link w:val="Heading4"/>
    <w:uiPriority w:val="7"/>
    <w:rPr>
      <w:rFonts w:asciiTheme="majorHAnsi" w:eastAsiaTheme="majorEastAsia" w:hAnsiTheme="majorHAnsi" w:cstheme="majorBidi"/>
      <w:b/>
      <w:iCs/>
      <w:color w:val="000000" w:themeColor="text1"/>
      <w:sz w:val="18"/>
    </w:rPr>
  </w:style>
  <w:style w:type="paragraph" w:customStyle="1" w:styleId="Calloutboxcopy">
    <w:name w:val="Callout box copy"/>
    <w:basedOn w:val="Normal"/>
    <w:uiPriority w:val="9"/>
    <w:rsid w:val="002A07F8"/>
    <w:pPr>
      <w:keepNext/>
      <w:spacing w:before="120"/>
      <w:ind w:left="144" w:right="144"/>
    </w:pPr>
    <w:rPr>
      <w:rFonts w:eastAsia="Times New Roman" w:cs="Times New Roman"/>
      <w:i/>
      <w:iCs/>
      <w:color w:val="000000" w:themeColor="text1"/>
      <w:sz w:val="25"/>
      <w:szCs w:val="20"/>
    </w:rPr>
  </w:style>
  <w:style w:type="paragraph" w:customStyle="1" w:styleId="Heading1NOspacebefore">
    <w:name w:val="Heading 1 NO space before"/>
    <w:basedOn w:val="Heading1"/>
    <w:next w:val="Bodycopy"/>
    <w:uiPriority w:val="7"/>
    <w:qFormat/>
    <w:pPr>
      <w:spacing w:before="0"/>
    </w:pPr>
    <w:rPr>
      <w:rFonts w:eastAsia="Times New Roman" w:cs="Times New Roman"/>
      <w:szCs w:val="20"/>
    </w:rPr>
  </w:style>
  <w:style w:type="paragraph" w:customStyle="1" w:styleId="Docsubtitle">
    <w:name w:val="Doc subtitle"/>
    <w:basedOn w:val="Normal"/>
    <w:uiPriority w:val="1"/>
    <w:rsid w:val="00C04A90"/>
    <w:pPr>
      <w:spacing w:before="360" w:after="240" w:line="320" w:lineRule="exact"/>
      <w:contextualSpacing/>
    </w:pPr>
    <w:rPr>
      <w:rFonts w:asciiTheme="majorHAnsi" w:eastAsia="Calibri" w:hAnsiTheme="majorHAnsi" w:cs="Times New Roman"/>
      <w:caps/>
      <w:color w:val="auto"/>
      <w:spacing w:val="-4"/>
      <w:sz w:val="24"/>
      <w:szCs w:val="18"/>
    </w:rPr>
  </w:style>
  <w:style w:type="character" w:styleId="Hyperlink">
    <w:name w:val="Hyperlink"/>
    <w:basedOn w:val="DefaultParagraphFont"/>
    <w:uiPriority w:val="99"/>
    <w:rsid w:val="00A00B1C"/>
    <w:rPr>
      <w:color w:val="005596" w:themeColor="accent4"/>
      <w:u w:val="single"/>
    </w:rPr>
  </w:style>
  <w:style w:type="paragraph" w:styleId="TOC1">
    <w:name w:val="toc 1"/>
    <w:basedOn w:val="Normal"/>
    <w:next w:val="Bodycopy"/>
    <w:uiPriority w:val="39"/>
    <w:rsid w:val="00AB59EA"/>
    <w:pPr>
      <w:tabs>
        <w:tab w:val="right" w:pos="4680"/>
      </w:tabs>
      <w:spacing w:after="360"/>
      <w:ind w:right="3960"/>
    </w:pPr>
    <w:rPr>
      <w:rFonts w:eastAsia="Calibri" w:cs="Times New Roman"/>
      <w:noProof/>
      <w:color w:val="000000" w:themeColor="text1"/>
      <w:sz w:val="28"/>
      <w:szCs w:val="18"/>
    </w:rPr>
  </w:style>
  <w:style w:type="paragraph" w:styleId="FootnoteText">
    <w:name w:val="footnote text"/>
    <w:basedOn w:val="Normal"/>
    <w:link w:val="FootnoteTextChar"/>
    <w:uiPriority w:val="99"/>
    <w:unhideWhenUsed/>
    <w:pPr>
      <w:spacing w:after="0"/>
      <w:ind w:left="86" w:right="-3060" w:hanging="86"/>
    </w:pPr>
    <w:rPr>
      <w:color w:val="000000" w:themeColor="text1"/>
      <w:sz w:val="14"/>
      <w:szCs w:val="20"/>
    </w:rPr>
  </w:style>
  <w:style w:type="character" w:customStyle="1" w:styleId="FootnoteTextChar">
    <w:name w:val="Footnote Text Char"/>
    <w:basedOn w:val="DefaultParagraphFont"/>
    <w:link w:val="FootnoteText"/>
    <w:uiPriority w:val="99"/>
    <w:rPr>
      <w:rFonts w:eastAsiaTheme="minorEastAsia"/>
      <w:color w:val="000000" w:themeColor="text1"/>
      <w:sz w:val="14"/>
      <w:szCs w:val="20"/>
    </w:rPr>
  </w:style>
  <w:style w:type="character" w:styleId="FootnoteReference">
    <w:name w:val="footnote reference"/>
    <w:basedOn w:val="DefaultParagraphFont"/>
    <w:uiPriority w:val="99"/>
    <w:semiHidden/>
    <w:unhideWhenUsed/>
    <w:rPr>
      <w:vertAlign w:val="superscript"/>
    </w:rPr>
  </w:style>
  <w:style w:type="paragraph" w:customStyle="1" w:styleId="ImportantInformation">
    <w:name w:val="Important Information"/>
    <w:basedOn w:val="Normal"/>
    <w:uiPriority w:val="24"/>
    <w:rsid w:val="00C04A90"/>
    <w:pPr>
      <w:spacing w:after="0"/>
    </w:pPr>
    <w:rPr>
      <w:rFonts w:asciiTheme="majorHAnsi" w:eastAsia="Calibri" w:hAnsiTheme="majorHAnsi" w:cs="Times New Roman"/>
      <w:caps/>
      <w:noProof/>
      <w:color w:val="auto"/>
      <w:spacing w:val="-4"/>
      <w:sz w:val="16"/>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customStyle="1" w:styleId="Tablecopy">
    <w:name w:val="Table copy"/>
    <w:basedOn w:val="Normal"/>
    <w:uiPriority w:val="14"/>
    <w:qFormat/>
    <w:rsid w:val="002F4640"/>
    <w:pPr>
      <w:keepNext/>
      <w:spacing w:before="80" w:after="80"/>
      <w:ind w:right="144"/>
    </w:pPr>
    <w:rPr>
      <w:rFonts w:eastAsia="Calibri" w:cs="Times New Roman"/>
      <w:color w:val="000000" w:themeColor="text1"/>
      <w:spacing w:val="2"/>
      <w:sz w:val="14"/>
      <w:szCs w:val="18"/>
    </w:rPr>
  </w:style>
  <w:style w:type="character" w:customStyle="1" w:styleId="CommentTextChar">
    <w:name w:val="Comment Text Char"/>
    <w:basedOn w:val="DefaultParagraphFont"/>
    <w:link w:val="CommentText"/>
    <w:uiPriority w:val="99"/>
    <w:rPr>
      <w:rFonts w:eastAsiaTheme="minorEastAsia"/>
      <w:color w:val="00B05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EastAsia"/>
      <w:b/>
      <w:bCs/>
      <w:color w:val="00B050"/>
      <w:sz w:val="20"/>
      <w:szCs w:val="20"/>
    </w:rPr>
  </w:style>
  <w:style w:type="paragraph" w:styleId="Revision">
    <w:name w:val="Revision"/>
    <w:hidden/>
    <w:uiPriority w:val="99"/>
    <w:semiHidden/>
    <w:rsid w:val="002F4640"/>
  </w:style>
  <w:style w:type="paragraph" w:customStyle="1" w:styleId="Pulloutcopy">
    <w:name w:val="Pullout copy"/>
    <w:basedOn w:val="Normal"/>
    <w:uiPriority w:val="10"/>
    <w:rsid w:val="002A07F8"/>
    <w:pPr>
      <w:keepNext/>
      <w:spacing w:after="0"/>
    </w:pPr>
    <w:rPr>
      <w:rFonts w:eastAsia="Times New Roman" w:cs="Times New Roman"/>
      <w:color w:val="000000" w:themeColor="text1"/>
      <w:szCs w:val="20"/>
    </w:rPr>
  </w:style>
  <w:style w:type="paragraph" w:customStyle="1" w:styleId="Pulloutfacthdg">
    <w:name w:val="Pullout fact hdg"/>
    <w:basedOn w:val="Pulloutcopy"/>
    <w:next w:val="Pulloutcopy"/>
    <w:uiPriority w:val="9"/>
    <w:rsid w:val="002A07F8"/>
    <w:pPr>
      <w:spacing w:after="120"/>
    </w:pPr>
    <w:rPr>
      <w:rFonts w:asciiTheme="majorHAnsi" w:hAnsiTheme="majorHAnsi"/>
      <w:b/>
      <w:bCs/>
      <w:sz w:val="20"/>
    </w:rPr>
  </w:style>
  <w:style w:type="paragraph" w:customStyle="1" w:styleId="Tintedtablehdg">
    <w:name w:val="Tinted table hdg"/>
    <w:basedOn w:val="Tintedtablecopy"/>
    <w:uiPriority w:val="10"/>
    <w:rsid w:val="008B34AF"/>
    <w:rPr>
      <w:b/>
      <w:bCs/>
    </w:rPr>
  </w:style>
  <w:style w:type="paragraph" w:customStyle="1" w:styleId="Heading2NOspacebefore">
    <w:name w:val="Heading 2 NO space before"/>
    <w:basedOn w:val="Heading2"/>
    <w:next w:val="Bodycopy"/>
    <w:uiPriority w:val="7"/>
    <w:qFormat/>
    <w:pPr>
      <w:spacing w:before="0"/>
    </w:pPr>
    <w:rPr>
      <w:rFonts w:eastAsia="Times New Roman" w:cs="Times New Roman"/>
      <w:bCs/>
      <w:szCs w:val="20"/>
    </w:rPr>
  </w:style>
  <w:style w:type="numbering" w:customStyle="1" w:styleId="Alphanumericlist">
    <w:name w:val="Alphanumeric list"/>
    <w:basedOn w:val="NoList"/>
    <w:uiPriority w:val="99"/>
    <w:rsid w:val="002F4640"/>
    <w:pPr>
      <w:numPr>
        <w:numId w:val="11"/>
      </w:numPr>
    </w:pPr>
  </w:style>
  <w:style w:type="numbering" w:customStyle="1" w:styleId="Bulletsymbols">
    <w:name w:val="Bullet symbols"/>
    <w:basedOn w:val="NoList"/>
    <w:uiPriority w:val="99"/>
    <w:rsid w:val="002F4640"/>
    <w:pPr>
      <w:numPr>
        <w:numId w:val="12"/>
      </w:numPr>
    </w:pPr>
  </w:style>
  <w:style w:type="numbering" w:customStyle="1" w:styleId="Decimaloutline">
    <w:name w:val="Decimal outline"/>
    <w:basedOn w:val="NoList"/>
    <w:uiPriority w:val="99"/>
    <w:rsid w:val="002F4640"/>
    <w:pPr>
      <w:numPr>
        <w:numId w:val="14"/>
      </w:numPr>
    </w:pPr>
  </w:style>
  <w:style w:type="paragraph" w:customStyle="1" w:styleId="Bulletlistcopy">
    <w:name w:val="Bullet/list copy"/>
    <w:basedOn w:val="Bodycopy"/>
    <w:uiPriority w:val="8"/>
    <w:qFormat/>
    <w:pPr>
      <w:spacing w:line="220" w:lineRule="exact"/>
    </w:pPr>
    <w:rPr>
      <w:rFonts w:eastAsia="Times New Roman"/>
      <w:szCs w:val="20"/>
    </w:rPr>
  </w:style>
  <w:style w:type="paragraph" w:customStyle="1" w:styleId="Iconintablecolumn">
    <w:name w:val="Icon in table column"/>
    <w:basedOn w:val="Normal"/>
    <w:uiPriority w:val="12"/>
    <w:rsid w:val="008B34AF"/>
    <w:pPr>
      <w:keepNext/>
      <w:spacing w:after="0"/>
      <w:jc w:val="center"/>
    </w:pPr>
    <w:rPr>
      <w:rFonts w:eastAsia="Times New Roman" w:cs="Times New Roman"/>
      <w:noProof/>
      <w:color w:val="000000" w:themeColor="text1"/>
      <w:szCs w:val="20"/>
    </w:rPr>
  </w:style>
  <w:style w:type="paragraph" w:customStyle="1" w:styleId="Tintedtablecopysmall">
    <w:name w:val="Tinted table copy small"/>
    <w:basedOn w:val="Tintedtablecopy"/>
    <w:uiPriority w:val="11"/>
    <w:rPr>
      <w:sz w:val="18"/>
    </w:rPr>
  </w:style>
  <w:style w:type="paragraph" w:customStyle="1" w:styleId="Tintedtablehdgsmall">
    <w:name w:val="Tinted table hdg small"/>
    <w:basedOn w:val="Tintedtablehdg"/>
    <w:uiPriority w:val="10"/>
    <w:rPr>
      <w:sz w:val="18"/>
    </w:rPr>
  </w:style>
  <w:style w:type="paragraph" w:customStyle="1" w:styleId="Tablecopyright">
    <w:name w:val="Table copy right"/>
    <w:basedOn w:val="Tablecopy"/>
    <w:uiPriority w:val="14"/>
    <w:qFormat/>
    <w:pPr>
      <w:jc w:val="right"/>
    </w:pPr>
    <w:rPr>
      <w:rFonts w:eastAsia="Times New Roman"/>
      <w:szCs w:val="20"/>
    </w:rPr>
  </w:style>
  <w:style w:type="paragraph" w:customStyle="1" w:styleId="Tintedtablelargecolumn">
    <w:name w:val="Tinted table large # column"/>
    <w:basedOn w:val="Normal"/>
    <w:uiPriority w:val="11"/>
    <w:rsid w:val="002F4640"/>
    <w:pPr>
      <w:spacing w:after="0"/>
    </w:pPr>
    <w:rPr>
      <w:rFonts w:eastAsia="Calibri" w:cs="Times New Roman"/>
      <w:b/>
      <w:bCs/>
      <w:color w:val="000000" w:themeColor="text1"/>
      <w:sz w:val="36"/>
      <w:szCs w:val="18"/>
    </w:rPr>
  </w:style>
  <w:style w:type="character" w:customStyle="1" w:styleId="TintedtablesymbolCHAR">
    <w:name w:val="Tinted table symbol CHAR"/>
    <w:basedOn w:val="DefaultParagraphFont"/>
    <w:uiPriority w:val="11"/>
    <w:rPr>
      <w:b w:val="0"/>
      <w:color w:val="000000" w:themeColor="text1"/>
      <w:sz w:val="72"/>
    </w:rPr>
  </w:style>
  <w:style w:type="paragraph" w:customStyle="1" w:styleId="Pulloutfacthdg2">
    <w:name w:val="Pullout fact hdg 2"/>
    <w:basedOn w:val="Pulloutfacthdg"/>
    <w:next w:val="Pulloutcopy"/>
    <w:uiPriority w:val="9"/>
    <w:rsid w:val="00694272"/>
    <w:pPr>
      <w:spacing w:after="80"/>
    </w:pPr>
    <w:rPr>
      <w:caps/>
      <w:sz w:val="16"/>
    </w:rPr>
  </w:style>
  <w:style w:type="character" w:customStyle="1" w:styleId="AuthornameCHAR">
    <w:name w:val="Author name CHAR"/>
    <w:basedOn w:val="DefaultParagraphFont"/>
    <w:uiPriority w:val="5"/>
    <w:rPr>
      <w:b/>
      <w:color w:val="000000" w:themeColor="text1"/>
    </w:rPr>
  </w:style>
  <w:style w:type="paragraph" w:customStyle="1" w:styleId="TablegraphtitleNOspacebefore">
    <w:name w:val="Table/graph title NO space before"/>
    <w:basedOn w:val="Tablegraphtitle"/>
    <w:next w:val="Tablegraphintrocopy"/>
    <w:uiPriority w:val="12"/>
    <w:qFormat/>
    <w:pPr>
      <w:spacing w:before="0"/>
    </w:pPr>
  </w:style>
  <w:style w:type="paragraph" w:customStyle="1" w:styleId="AboutRussell">
    <w:name w:val="About Russell"/>
    <w:basedOn w:val="Docsubtitle"/>
    <w:uiPriority w:val="23"/>
    <w:rsid w:val="003438CC"/>
    <w:pPr>
      <w:keepNext/>
      <w:spacing w:after="180"/>
      <w:contextualSpacing w:val="0"/>
    </w:pPr>
    <w:rPr>
      <w:noProof/>
      <w:sz w:val="28"/>
    </w:rPr>
  </w:style>
  <w:style w:type="paragraph" w:styleId="EndnoteText">
    <w:name w:val="endnote text"/>
    <w:basedOn w:val="FootnoteText"/>
    <w:link w:val="EndnoteTextChar"/>
    <w:uiPriority w:val="99"/>
    <w:unhideWhenUsed/>
  </w:style>
  <w:style w:type="character" w:customStyle="1" w:styleId="EndnoteTextChar">
    <w:name w:val="Endnote Text Char"/>
    <w:basedOn w:val="DefaultParagraphFont"/>
    <w:link w:val="EndnoteText"/>
    <w:uiPriority w:val="99"/>
    <w:rPr>
      <w:rFonts w:eastAsiaTheme="minorEastAsia"/>
      <w:color w:val="000000" w:themeColor="text1"/>
      <w:sz w:val="14"/>
      <w:szCs w:val="20"/>
    </w:rPr>
  </w:style>
  <w:style w:type="character" w:styleId="EndnoteReference">
    <w:name w:val="endnote reference"/>
    <w:basedOn w:val="DefaultParagraphFont"/>
    <w:uiPriority w:val="99"/>
    <w:semiHidden/>
    <w:unhideWhenUsed/>
    <w:rPr>
      <w:vertAlign w:val="superscript"/>
    </w:rPr>
  </w:style>
  <w:style w:type="paragraph" w:customStyle="1" w:styleId="Placedelement">
    <w:name w:val="Placed element"/>
    <w:basedOn w:val="Normal"/>
    <w:next w:val="Bodycopy"/>
    <w:uiPriority w:val="15"/>
    <w:rsid w:val="00694272"/>
    <w:pPr>
      <w:keepNext/>
      <w:spacing w:after="0"/>
      <w:ind w:left="-43"/>
    </w:pPr>
    <w:rPr>
      <w:rFonts w:eastAsia="Times New Roman" w:cs="Times New Roman"/>
      <w:color w:val="000000" w:themeColor="text1"/>
      <w:sz w:val="16"/>
      <w:szCs w:val="20"/>
    </w:rPr>
  </w:style>
  <w:style w:type="paragraph" w:customStyle="1" w:styleId="Tablecopycentered">
    <w:name w:val="Table copy centered"/>
    <w:basedOn w:val="Tablecopy"/>
    <w:uiPriority w:val="14"/>
    <w:qFormat/>
    <w:pPr>
      <w:jc w:val="center"/>
    </w:pPr>
    <w:rPr>
      <w:rFonts w:eastAsia="Times New Roman"/>
      <w:szCs w:val="20"/>
    </w:rPr>
  </w:style>
  <w:style w:type="character" w:styleId="UnresolvedMention">
    <w:name w:val="Unresolved Mention"/>
    <w:basedOn w:val="DefaultParagraphFont"/>
    <w:uiPriority w:val="99"/>
    <w:semiHidden/>
    <w:unhideWhenUsed/>
    <w:rsid w:val="005D0B1D"/>
    <w:rPr>
      <w:color w:val="605E5C"/>
      <w:shd w:val="clear" w:color="auto" w:fill="E1DFDD"/>
    </w:rPr>
  </w:style>
  <w:style w:type="paragraph" w:customStyle="1" w:styleId="Back-disclosures">
    <w:name w:val="Back - disclosures"/>
    <w:basedOn w:val="Back-bodycopy"/>
    <w:uiPriority w:val="25"/>
    <w:rsid w:val="00B35E04"/>
    <w:pPr>
      <w:spacing w:line="180" w:lineRule="exact"/>
      <w:ind w:right="0"/>
    </w:pPr>
  </w:style>
  <w:style w:type="character" w:styleId="FollowedHyperlink">
    <w:name w:val="FollowedHyperlink"/>
    <w:basedOn w:val="DefaultParagraphFont"/>
    <w:uiPriority w:val="99"/>
    <w:semiHidden/>
    <w:unhideWhenUsed/>
    <w:rsid w:val="00340F8D"/>
    <w:rPr>
      <w:color w:val="5F6061" w:themeColor="followedHyperlink"/>
      <w:u w:val="single"/>
    </w:rPr>
  </w:style>
  <w:style w:type="table" w:styleId="GridTable5Dark-Accent1">
    <w:name w:val="Grid Table 5 Dark Accent 1"/>
    <w:basedOn w:val="TableNormal"/>
    <w:uiPriority w:val="50"/>
    <w:rsid w:val="00340F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right w:w="0" w:type="dxa"/>
      </w:tblCellMar>
    </w:tblPr>
    <w:tcPr>
      <w:shd w:val="clear" w:color="auto" w:fill="FDE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7E2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7E2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7E2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7E20" w:themeFill="accent1"/>
      </w:tcPr>
    </w:tblStylePr>
    <w:tblStylePr w:type="band1Vert">
      <w:tblPr/>
      <w:tcPr>
        <w:shd w:val="clear" w:color="auto" w:fill="FBCBA5" w:themeFill="accent1" w:themeFillTint="66"/>
      </w:tcPr>
    </w:tblStylePr>
    <w:tblStylePr w:type="band1Horz">
      <w:tblPr/>
      <w:tcPr>
        <w:shd w:val="clear" w:color="auto" w:fill="FBCBA5" w:themeFill="accent1" w:themeFillTint="66"/>
      </w:tcPr>
    </w:tblStylePr>
  </w:style>
  <w:style w:type="numbering" w:customStyle="1" w:styleId="ResearchTemplatenumericlist">
    <w:name w:val="Research Template numeric list"/>
    <w:basedOn w:val="NoList"/>
    <w:uiPriority w:val="99"/>
    <w:rsid w:val="002F4640"/>
    <w:pPr>
      <w:numPr>
        <w:numId w:val="33"/>
      </w:numPr>
    </w:pPr>
  </w:style>
  <w:style w:type="paragraph" w:customStyle="1" w:styleId="Questions">
    <w:name w:val="Questions"/>
    <w:basedOn w:val="AboutRussell"/>
    <w:uiPriority w:val="21"/>
    <w:rsid w:val="003438CC"/>
    <w:pPr>
      <w:spacing w:line="400" w:lineRule="exact"/>
    </w:pPr>
    <w:rPr>
      <w:sz w:val="36"/>
    </w:rPr>
  </w:style>
  <w:style w:type="paragraph" w:customStyle="1" w:styleId="Calltoaction">
    <w:name w:val="Call to action"/>
    <w:basedOn w:val="Back-bodycopy"/>
    <w:uiPriority w:val="22"/>
    <w:rsid w:val="00694272"/>
    <w:pPr>
      <w:spacing w:after="840" w:line="320" w:lineRule="exact"/>
    </w:pPr>
    <w:rPr>
      <w:sz w:val="28"/>
    </w:rPr>
  </w:style>
  <w:style w:type="character" w:customStyle="1" w:styleId="CalltoactionnumberCHAR">
    <w:name w:val="Call to action number CHAR"/>
    <w:basedOn w:val="DefaultParagraphFont"/>
    <w:uiPriority w:val="22"/>
    <w:rsid w:val="001A15A6"/>
    <w:rPr>
      <w:b/>
      <w:bCs/>
      <w:color w:val="F57E20" w:themeColor="accent1"/>
    </w:rPr>
  </w:style>
  <w:style w:type="character" w:customStyle="1" w:styleId="CalltoactionURLCHAR">
    <w:name w:val="Call to action URL CHAR"/>
    <w:basedOn w:val="DefaultParagraphFont"/>
    <w:uiPriority w:val="22"/>
    <w:rsid w:val="00A00B1C"/>
    <w:rPr>
      <w:b/>
      <w:color w:val="005596" w:themeColor="accent4"/>
    </w:rPr>
  </w:style>
  <w:style w:type="paragraph" w:customStyle="1" w:styleId="Documenttypeblack">
    <w:name w:val="Document type black"/>
    <w:basedOn w:val="Normal"/>
    <w:uiPriority w:val="1"/>
    <w:rsid w:val="00794912"/>
    <w:pPr>
      <w:ind w:right="45"/>
    </w:pPr>
    <w:rPr>
      <w:rFonts w:asciiTheme="majorHAnsi" w:eastAsiaTheme="minorEastAsia" w:hAnsiTheme="majorHAnsi" w:cstheme="majorHAnsi"/>
      <w:caps/>
      <w:noProof/>
      <w:color w:val="000000" w:themeColor="text1"/>
      <w:spacing w:val="-4"/>
      <w:sz w:val="20"/>
      <w:szCs w:val="28"/>
    </w:rPr>
  </w:style>
  <w:style w:type="paragraph" w:customStyle="1" w:styleId="Doctitleblack">
    <w:name w:val="Doc title black"/>
    <w:rsid w:val="00794912"/>
    <w:rPr>
      <w:rFonts w:asciiTheme="majorHAnsi" w:eastAsiaTheme="minorEastAsia" w:hAnsiTheme="majorHAnsi" w:cs="Arial"/>
      <w:bCs/>
      <w:caps/>
      <w:color w:val="000000" w:themeColor="text1"/>
      <w:spacing w:val="-6"/>
      <w:sz w:val="44"/>
      <w:szCs w:val="96"/>
    </w:rPr>
  </w:style>
  <w:style w:type="paragraph" w:customStyle="1" w:styleId="Introcopy">
    <w:name w:val="Intro copy"/>
    <w:next w:val="Bodycopy"/>
    <w:uiPriority w:val="6"/>
    <w:qFormat/>
    <w:rsid w:val="00613768"/>
    <w:pPr>
      <w:spacing w:after="240"/>
    </w:pPr>
    <w:rPr>
      <w:rFonts w:eastAsia="Calibri" w:cs="Times New Roman"/>
      <w:color w:val="000000" w:themeColor="text1"/>
      <w:sz w:val="22"/>
      <w:szCs w:val="18"/>
    </w:rPr>
  </w:style>
  <w:style w:type="paragraph" w:customStyle="1" w:styleId="Introheading">
    <w:name w:val="Intro heading"/>
    <w:next w:val="Introcopy"/>
    <w:uiPriority w:val="5"/>
    <w:qFormat/>
    <w:rsid w:val="00A00B1C"/>
    <w:pPr>
      <w:keepNext/>
      <w:spacing w:before="360" w:after="240"/>
      <w:ind w:right="-3037"/>
    </w:pPr>
    <w:rPr>
      <w:rFonts w:asciiTheme="majorHAnsi" w:eastAsia="Calibri" w:hAnsiTheme="majorHAnsi" w:cs="Times New Roman"/>
      <w:color w:val="005596" w:themeColor="accent4"/>
      <w:sz w:val="28"/>
      <w:szCs w:val="18"/>
    </w:rPr>
  </w:style>
  <w:style w:type="paragraph" w:customStyle="1" w:styleId="Back-hdgsnotinTOCnoindent">
    <w:name w:val="Back - hdgs not in TOC no indent"/>
    <w:basedOn w:val="Calltoaction"/>
    <w:uiPriority w:val="17"/>
    <w:rsid w:val="002A07F8"/>
    <w:pPr>
      <w:ind w:right="-239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46">
      <w:bodyDiv w:val="1"/>
      <w:marLeft w:val="0"/>
      <w:marRight w:val="0"/>
      <w:marTop w:val="0"/>
      <w:marBottom w:val="0"/>
      <w:divBdr>
        <w:top w:val="none" w:sz="0" w:space="0" w:color="auto"/>
        <w:left w:val="none" w:sz="0" w:space="0" w:color="auto"/>
        <w:bottom w:val="none" w:sz="0" w:space="0" w:color="auto"/>
        <w:right w:val="none" w:sz="0" w:space="0" w:color="auto"/>
      </w:divBdr>
    </w:div>
    <w:div w:id="227805414">
      <w:bodyDiv w:val="1"/>
      <w:marLeft w:val="0"/>
      <w:marRight w:val="0"/>
      <w:marTop w:val="0"/>
      <w:marBottom w:val="0"/>
      <w:divBdr>
        <w:top w:val="none" w:sz="0" w:space="0" w:color="auto"/>
        <w:left w:val="none" w:sz="0" w:space="0" w:color="auto"/>
        <w:bottom w:val="none" w:sz="0" w:space="0" w:color="auto"/>
        <w:right w:val="none" w:sz="0" w:space="0" w:color="auto"/>
      </w:divBdr>
    </w:div>
    <w:div w:id="447889982">
      <w:bodyDiv w:val="1"/>
      <w:marLeft w:val="0"/>
      <w:marRight w:val="0"/>
      <w:marTop w:val="0"/>
      <w:marBottom w:val="0"/>
      <w:divBdr>
        <w:top w:val="none" w:sz="0" w:space="0" w:color="auto"/>
        <w:left w:val="none" w:sz="0" w:space="0" w:color="auto"/>
        <w:bottom w:val="none" w:sz="0" w:space="0" w:color="auto"/>
        <w:right w:val="none" w:sz="0" w:space="0" w:color="auto"/>
      </w:divBdr>
    </w:div>
    <w:div w:id="503210627">
      <w:bodyDiv w:val="1"/>
      <w:marLeft w:val="0"/>
      <w:marRight w:val="0"/>
      <w:marTop w:val="0"/>
      <w:marBottom w:val="0"/>
      <w:divBdr>
        <w:top w:val="none" w:sz="0" w:space="0" w:color="auto"/>
        <w:left w:val="none" w:sz="0" w:space="0" w:color="auto"/>
        <w:bottom w:val="none" w:sz="0" w:space="0" w:color="auto"/>
        <w:right w:val="none" w:sz="0" w:space="0" w:color="auto"/>
      </w:divBdr>
    </w:div>
    <w:div w:id="655425734">
      <w:bodyDiv w:val="1"/>
      <w:marLeft w:val="0"/>
      <w:marRight w:val="0"/>
      <w:marTop w:val="0"/>
      <w:marBottom w:val="0"/>
      <w:divBdr>
        <w:top w:val="none" w:sz="0" w:space="0" w:color="auto"/>
        <w:left w:val="none" w:sz="0" w:space="0" w:color="auto"/>
        <w:bottom w:val="none" w:sz="0" w:space="0" w:color="auto"/>
        <w:right w:val="none" w:sz="0" w:space="0" w:color="auto"/>
      </w:divBdr>
    </w:div>
    <w:div w:id="697244746">
      <w:bodyDiv w:val="1"/>
      <w:marLeft w:val="0"/>
      <w:marRight w:val="0"/>
      <w:marTop w:val="0"/>
      <w:marBottom w:val="0"/>
      <w:divBdr>
        <w:top w:val="none" w:sz="0" w:space="0" w:color="auto"/>
        <w:left w:val="none" w:sz="0" w:space="0" w:color="auto"/>
        <w:bottom w:val="none" w:sz="0" w:space="0" w:color="auto"/>
        <w:right w:val="none" w:sz="0" w:space="0" w:color="auto"/>
      </w:divBdr>
    </w:div>
    <w:div w:id="721098134">
      <w:bodyDiv w:val="1"/>
      <w:marLeft w:val="0"/>
      <w:marRight w:val="0"/>
      <w:marTop w:val="0"/>
      <w:marBottom w:val="0"/>
      <w:divBdr>
        <w:top w:val="none" w:sz="0" w:space="0" w:color="auto"/>
        <w:left w:val="none" w:sz="0" w:space="0" w:color="auto"/>
        <w:bottom w:val="none" w:sz="0" w:space="0" w:color="auto"/>
        <w:right w:val="none" w:sz="0" w:space="0" w:color="auto"/>
      </w:divBdr>
    </w:div>
    <w:div w:id="1461149318">
      <w:bodyDiv w:val="1"/>
      <w:marLeft w:val="0"/>
      <w:marRight w:val="0"/>
      <w:marTop w:val="0"/>
      <w:marBottom w:val="0"/>
      <w:divBdr>
        <w:top w:val="none" w:sz="0" w:space="0" w:color="auto"/>
        <w:left w:val="none" w:sz="0" w:space="0" w:color="auto"/>
        <w:bottom w:val="none" w:sz="0" w:space="0" w:color="auto"/>
        <w:right w:val="none" w:sz="0" w:space="0" w:color="auto"/>
      </w:divBdr>
    </w:div>
    <w:div w:id="1471359776">
      <w:bodyDiv w:val="1"/>
      <w:marLeft w:val="0"/>
      <w:marRight w:val="0"/>
      <w:marTop w:val="0"/>
      <w:marBottom w:val="0"/>
      <w:divBdr>
        <w:top w:val="none" w:sz="0" w:space="0" w:color="auto"/>
        <w:left w:val="none" w:sz="0" w:space="0" w:color="auto"/>
        <w:bottom w:val="none" w:sz="0" w:space="0" w:color="auto"/>
        <w:right w:val="none" w:sz="0" w:space="0" w:color="auto"/>
      </w:divBdr>
    </w:div>
    <w:div w:id="1617444126">
      <w:bodyDiv w:val="1"/>
      <w:marLeft w:val="0"/>
      <w:marRight w:val="0"/>
      <w:marTop w:val="0"/>
      <w:marBottom w:val="0"/>
      <w:divBdr>
        <w:top w:val="none" w:sz="0" w:space="0" w:color="auto"/>
        <w:left w:val="none" w:sz="0" w:space="0" w:color="auto"/>
        <w:bottom w:val="none" w:sz="0" w:space="0" w:color="auto"/>
        <w:right w:val="none" w:sz="0" w:space="0" w:color="auto"/>
      </w:divBdr>
    </w:div>
    <w:div w:id="1680427574">
      <w:bodyDiv w:val="1"/>
      <w:marLeft w:val="0"/>
      <w:marRight w:val="0"/>
      <w:marTop w:val="0"/>
      <w:marBottom w:val="0"/>
      <w:divBdr>
        <w:top w:val="none" w:sz="0" w:space="0" w:color="auto"/>
        <w:left w:val="none" w:sz="0" w:space="0" w:color="auto"/>
        <w:bottom w:val="none" w:sz="0" w:space="0" w:color="auto"/>
        <w:right w:val="none" w:sz="0" w:space="0" w:color="auto"/>
      </w:divBdr>
    </w:div>
    <w:div w:id="20178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ssellinvestment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unawar\Downloads\A4-General-branded.dotx" TargetMode="External"/></Relationships>
</file>

<file path=word/theme/theme1.xml><?xml version="1.0" encoding="utf-8"?>
<a:theme xmlns:a="http://schemas.openxmlformats.org/drawingml/2006/main" name="Russell Investments">
  <a:themeElements>
    <a:clrScheme name="Russell Investments 2023">
      <a:dk1>
        <a:srgbClr val="000000"/>
      </a:dk1>
      <a:lt1>
        <a:srgbClr val="FFFFFF"/>
      </a:lt1>
      <a:dk2>
        <a:srgbClr val="5F6061"/>
      </a:dk2>
      <a:lt2>
        <a:srgbClr val="79BDE8"/>
      </a:lt2>
      <a:accent1>
        <a:srgbClr val="F57E20"/>
      </a:accent1>
      <a:accent2>
        <a:srgbClr val="79BDE8"/>
      </a:accent2>
      <a:accent3>
        <a:srgbClr val="A39A93"/>
      </a:accent3>
      <a:accent4>
        <a:srgbClr val="005596"/>
      </a:accent4>
      <a:accent5>
        <a:srgbClr val="EFC163"/>
      </a:accent5>
      <a:accent6>
        <a:srgbClr val="982024"/>
      </a:accent6>
      <a:hlink>
        <a:srgbClr val="000000"/>
      </a:hlink>
      <a:folHlink>
        <a:srgbClr val="5F606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Russell Investments">
        <a:dk1>
          <a:srgbClr val="000000"/>
        </a:dk1>
        <a:lt1>
          <a:srgbClr val="FFFFFF"/>
        </a:lt1>
        <a:dk2>
          <a:srgbClr val="5F6061"/>
        </a:dk2>
        <a:lt2>
          <a:srgbClr val="DBD8BD"/>
        </a:lt2>
        <a:accent1>
          <a:srgbClr val="F57E20"/>
        </a:accent1>
        <a:accent2>
          <a:srgbClr val="79BDE8"/>
        </a:accent2>
        <a:accent3>
          <a:srgbClr val="A39A93"/>
        </a:accent3>
        <a:accent4>
          <a:srgbClr val="005596"/>
        </a:accent4>
        <a:accent5>
          <a:srgbClr val="982024"/>
        </a:accent5>
        <a:accent6>
          <a:srgbClr val="EFC163"/>
        </a:accent6>
        <a:hlink>
          <a:srgbClr val="000000"/>
        </a:hlink>
        <a:folHlink>
          <a:srgbClr val="000000"/>
        </a:folHlink>
      </a:clrScheme>
    </a:extraClrScheme>
  </a:extraClrSchemeLst>
  <a:custClrLst>
    <a:custClr name="Black">
      <a:srgbClr val="000000"/>
    </a:custClr>
    <a:custClr name="White">
      <a:srgbClr val="FFFFFF"/>
    </a:custClr>
    <a:custClr name="PMS 425">
      <a:srgbClr val="5F6062"/>
    </a:custClr>
    <a:custClr name="PMS 152">
      <a:srgbClr val="F57E20"/>
    </a:custClr>
    <a:custClr name="PMS 292">
      <a:srgbClr val="79BDE8"/>
    </a:custClr>
    <a:custClr name="PMS WARM GRAY 7">
      <a:srgbClr val="A49A94"/>
    </a:custClr>
    <a:custClr name="PMS 453">
      <a:srgbClr val="DBD8BD"/>
    </a:custClr>
    <a:custClr name="PMS 294">
      <a:srgbClr val="005596"/>
    </a:custClr>
    <a:custClr name="PMS 292+45k">
      <a:srgbClr val="4B7995"/>
    </a:custClr>
    <a:custClr name="PMS 292+30k">
      <a:srgbClr val="5B90B0"/>
    </a:custClr>
    <a:custClr name="PMS 292+15k">
      <a:srgbClr val="6AA6CB"/>
    </a:custClr>
    <a:custClr name="PMS 152+15k">
      <a:srgbClr val="D46E1B"/>
    </a:custClr>
    <a:custClr name="PMS WARM GRAY 7 (AT 50%)">
      <a:srgbClr val="CBC5C2"/>
    </a:custClr>
    <a:custClr name="PMS WARM GRAY 7+20k">
      <a:srgbClr val="7D746E"/>
    </a:custClr>
    <a:custClr name="PMS 453+10k">
      <a:srgbClr val="C7C5AD"/>
    </a:custClr>
    <a:custClr name="PMS 453+20k">
      <a:srgbClr val="B5B49F"/>
    </a:custClr>
    <a:custClr name="CORP DK BROWN">
      <a:srgbClr val="4E180E"/>
    </a:custClr>
    <a:custClr name="CORP MED BROWN">
      <a:srgbClr val="7C3A00"/>
    </a:custClr>
    <a:custClr name="CORP LT BROWN">
      <a:srgbClr val="AA703F"/>
    </a:custClr>
    <a:custClr name="CORP CRIMSON">
      <a:srgbClr val="982124"/>
    </a:custClr>
    <a:custClr name="CORP RED">
      <a:srgbClr val="C44F27"/>
    </a:custClr>
    <a:custClr name="CORP YELLOW">
      <a:srgbClr val="EFC163"/>
    </a:custClr>
    <a:custClr name="CORP PURPLE">
      <a:srgbClr val="582857"/>
    </a:custClr>
    <a:custClr name="CORP LT PURPLE">
      <a:srgbClr val="866781"/>
    </a:custClr>
    <a:custClr name="CORP GREEN">
      <a:srgbClr val="607653"/>
    </a:custClr>
    <a:custClr name="CORP LT GREEN">
      <a:srgbClr val="91AA88"/>
    </a:custClr>
    <a:custClr name=" ">
      <a:srgbClr val="FFFFFF"/>
    </a:custClr>
    <a:custClr name=" ">
      <a:srgbClr val="FFFFFF"/>
    </a:custClr>
    <a:custClr name=" ">
      <a:srgbClr val="FFFFFF"/>
    </a:custClr>
    <a:custClr name=" ">
      <a:srgbClr val="FFFFFF"/>
    </a:custClr>
    <a:custClr name="PMS 425 (AT 50%)">
      <a:srgbClr val="AFB0B1"/>
    </a:custClr>
    <a:custClr name="PMS 152 (AT 50%)">
      <a:srgbClr val="FABF90"/>
    </a:custClr>
    <a:custClr name="PMS 292 (AT 50%)">
      <a:srgbClr val="BCDEF4"/>
    </a:custClr>
    <a:custClr name="PMS WARM GRAY 7 (AT 50%)">
      <a:srgbClr val="CBC5C2"/>
    </a:custClr>
    <a:custClr name="PMS 453 (AT 50%)">
      <a:srgbClr val="EDECDE"/>
    </a:custClr>
    <a:custClr name="PMS 294 (AT 50%)">
      <a:srgbClr val="80AACB"/>
    </a:custClr>
    <a:custClr name="CORP DK BROWN (AT 50%)">
      <a:srgbClr val="A78C87"/>
    </a:custClr>
    <a:custClr name="CORP MED BROWN (AT 50%)">
      <a:srgbClr val="BE9D80"/>
    </a:custClr>
    <a:custClr name="CORP LT BROWN (AT 50%)">
      <a:srgbClr val="D5B89F"/>
    </a:custClr>
    <a:custClr name="CORP CRIMSON (AT 50%)">
      <a:srgbClr val="CC9092"/>
    </a:custClr>
    <a:custClr name="CORP RED (AT 50%)">
      <a:srgbClr val="E2A793"/>
    </a:custClr>
    <a:custClr name="CORP YELLOW (AT 50%)">
      <a:srgbClr val="F7E0B1"/>
    </a:custClr>
    <a:custClr name="CORP PURPLE (AT 50%)">
      <a:srgbClr val="AC94AB"/>
    </a:custClr>
    <a:custClr name="CORP LT PURPLE (AT 50%)">
      <a:srgbClr val="C3B3C0"/>
    </a:custClr>
    <a:custClr name="CORP GREEN (AT 50%)">
      <a:srgbClr val="B0BBA9"/>
    </a:custClr>
    <a:custClr name="CORP LT GREEN (AT 50%)">
      <a:srgbClr val="C8D5C4"/>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437b21-c365-4cd6-b6ba-31a4416dc0b7" xsi:nil="true"/>
    <lcf76f155ced4ddcb4097134ff3c332f xmlns="41fe362b-87b3-4c00-8b7e-3d3e72ecc28f">
      <Terms xmlns="http://schemas.microsoft.com/office/infopath/2007/PartnerControls"/>
    </lcf76f155ced4ddcb4097134ff3c332f>
    <Thumbnail xmlns="41fe362b-87b3-4c00-8b7e-3d3e72ecc28f"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81740210AA6D4FA8A43E1A8617BBFA" ma:contentTypeVersion="20" ma:contentTypeDescription="Create a new document." ma:contentTypeScope="" ma:versionID="0fd49cb7de9dacde6d440220b395d068">
  <xsd:schema xmlns:xsd="http://www.w3.org/2001/XMLSchema" xmlns:xs="http://www.w3.org/2001/XMLSchema" xmlns:p="http://schemas.microsoft.com/office/2006/metadata/properties" xmlns:ns1="http://schemas.microsoft.com/sharepoint/v3" xmlns:ns2="41fe362b-87b3-4c00-8b7e-3d3e72ecc28f" xmlns:ns3="4a437b21-c365-4cd6-b6ba-31a4416dc0b7" targetNamespace="http://schemas.microsoft.com/office/2006/metadata/properties" ma:root="true" ma:fieldsID="35996f66e155f5084b55a05be5282001" ns1:_="" ns2:_="" ns3:_="">
    <xsd:import namespace="http://schemas.microsoft.com/sharepoint/v3"/>
    <xsd:import namespace="41fe362b-87b3-4c00-8b7e-3d3e72ecc28f"/>
    <xsd:import namespace="4a437b21-c365-4cd6-b6ba-31a4416dc0b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fe362b-87b3-4c00-8b7e-3d3e72ecc2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065594-cf3b-405a-949a-0cf776449036" ma:termSetId="09814cd3-568e-fe90-9814-8d621ff8fb84" ma:anchorId="fba54fb3-c3e1-fe81-a776-ca4b69148c4d" ma:open="true" ma:isKeyword="false">
      <xsd:complexType>
        <xsd:sequence>
          <xsd:element ref="pc:Terms" minOccurs="0" maxOccurs="1"/>
        </xsd:sequence>
      </xsd:complexType>
    </xsd:element>
    <xsd:element name="Thumbnail" ma:index="26" nillable="true" ma:displayName="Thumbnail" ma:format="Thumbnail" ma:internalName="Thumbnail">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437b21-c365-4cd6-b6ba-31a4416dc0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7f00c3-57b3-479a-9524-e2508a6702dd}" ma:internalName="TaxCatchAll" ma:showField="CatchAllData" ma:web="4a437b21-c365-4cd6-b6ba-31a4416dc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E849F-486A-479E-93ED-1EB2E38B66E7}">
  <ds:schemaRefs>
    <ds:schemaRef ds:uri="http://schemas.openxmlformats.org/officeDocument/2006/bibliography"/>
  </ds:schemaRefs>
</ds:datastoreItem>
</file>

<file path=customXml/itemProps2.xml><?xml version="1.0" encoding="utf-8"?>
<ds:datastoreItem xmlns:ds="http://schemas.openxmlformats.org/officeDocument/2006/customXml" ds:itemID="{D3AAE2A4-4FAA-4FB5-813D-BE04695B754E}">
  <ds:schemaRefs>
    <ds:schemaRef ds:uri="http://schemas.microsoft.com/sharepoint/v3/contenttype/forms"/>
  </ds:schemaRefs>
</ds:datastoreItem>
</file>

<file path=customXml/itemProps3.xml><?xml version="1.0" encoding="utf-8"?>
<ds:datastoreItem xmlns:ds="http://schemas.openxmlformats.org/officeDocument/2006/customXml" ds:itemID="{13F2D599-4FFC-4427-99CA-4850154693F4}">
  <ds:schemaRefs>
    <ds:schemaRef ds:uri="http://schemas.microsoft.com/office/2006/metadata/properties"/>
    <ds:schemaRef ds:uri="http://schemas.microsoft.com/office/infopath/2007/PartnerControls"/>
    <ds:schemaRef ds:uri="4a437b21-c365-4cd6-b6ba-31a4416dc0b7"/>
    <ds:schemaRef ds:uri="41fe362b-87b3-4c00-8b7e-3d3e72ecc28f"/>
    <ds:schemaRef ds:uri="http://schemas.microsoft.com/sharepoint/v3"/>
  </ds:schemaRefs>
</ds:datastoreItem>
</file>

<file path=customXml/itemProps4.xml><?xml version="1.0" encoding="utf-8"?>
<ds:datastoreItem xmlns:ds="http://schemas.openxmlformats.org/officeDocument/2006/customXml" ds:itemID="{974D7E3D-8B58-4ED0-840C-EB07B051D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fe362b-87b3-4c00-8b7e-3d3e72ecc28f"/>
    <ds:schemaRef ds:uri="4a437b21-c365-4cd6-b6ba-31a4416dc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A4-General-branded.dotx</Template>
  <TotalTime>73</TotalTime>
  <Pages>4</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Russell Investments</vt:lpstr>
    </vt:vector>
  </TitlesOfParts>
  <Manager>Russell Investments</Manager>
  <Company>Russell Investments</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Investments</dc:title>
  <dc:subject>Russell Investments</dc:subject>
  <dc:creator>Gunawardana, Anushika</dc:creator>
  <cp:keywords/>
  <dc:description/>
  <cp:lastModifiedBy>Little, David</cp:lastModifiedBy>
  <cp:revision>18</cp:revision>
  <cp:lastPrinted>2022-11-16T19:16:00Z</cp:lastPrinted>
  <dcterms:created xsi:type="dcterms:W3CDTF">2024-10-24T04:19:00Z</dcterms:created>
  <dcterms:modified xsi:type="dcterms:W3CDTF">2024-10-24T23:21:00Z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0x0101003C81740210AA6D4FA8A43E1A8617BBFA</vt:lpwstr>
  </property>
  <property fmtid="{D5CDD505-2E9C-101B-9397-08002B2CF9AE}" pid="3" name="MediaServiceImageTags">
    <vt:lpwstr/>
  </property>
</Properties>
</file>